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44"/>
        <w:gridCol w:w="4645"/>
      </w:tblGrid>
      <w:tr w:rsidRPr="004A7DCD" w:rsidR="000D6A84" w:rsidTr="006D78CA" w14:paraId="3ECDCCBE" w14:textId="77777777">
        <w:trPr>
          <w:cantSplit/>
        </w:trPr>
        <w:tc>
          <w:tcPr>
            <w:tcW w:w="4644" w:type="dxa"/>
          </w:tcPr>
          <w:p w:rsidRPr="004A7DCD" w:rsidR="000D6A84" w:rsidP="00B26991" w:rsidRDefault="00E419DF" w14:paraId="10AE01E4" w14:textId="0FE0C2FC">
            <w:bookmarkStart w:name="_GoBack" w:id="0"/>
            <w:bookmarkEnd w:id="0"/>
            <w:r w:rsidRPr="004A7DCD">
              <w:rPr>
                <w:noProof/>
                <w:lang w:val="en-US"/>
              </w:rPr>
              <mc:AlternateContent>
                <mc:Choice Requires="wps">
                  <w:drawing>
                    <wp:anchor distT="0" distB="0" distL="114300" distR="114300" simplePos="0" relativeHeight="251659264" behindDoc="1" locked="0" layoutInCell="0" allowOverlap="1" wp14:editId="4AF85032" wp14:anchorId="4CE45D6C">
                      <wp:simplePos x="0" y="0"/>
                      <wp:positionH relativeFrom="page">
                        <wp:posOffset>6769100</wp:posOffset>
                      </wp:positionH>
                      <wp:positionV relativeFrom="page">
                        <wp:posOffset>10081260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33430" w:rsidR="0004451B" w:rsidRDefault="0004451B" w14:paraId="7678E52B" w14:textId="77777777">
                                  <w:pPr>
                                    <w:jc w:val="center"/>
                                    <w:rPr>
                                      <w:rFonts w:ascii="Arial" w:hAnsi="Arial" w:cs="Arial"/>
                                      <w:b/>
                                      <w:bCs/>
                                      <w:sz w:val="48"/>
                                    </w:rPr>
                                  </w:pPr>
                                  <w:r w:rsidRPr="00B33430">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v:textbox>
                        <w:txbxContent>
                          <w:p w:rsidRPr="00B33430" w:rsidR="0004451B" w:rsidRDefault="0004451B" w14:paraId="7678E52B" w14:textId="77777777">
                            <w:pPr>
                              <w:jc w:val="center"/>
                              <w:rPr>
                                <w:rFonts w:ascii="Arial" w:hAnsi="Arial" w:cs="Arial"/>
                                <w:b/>
                                <w:bCs/>
                                <w:sz w:val="48"/>
                              </w:rPr>
                            </w:pPr>
                            <w:r w:rsidRPr="00B33430">
                              <w:rPr>
                                <w:rFonts w:ascii="Arial" w:hAnsi="Arial" w:cs="Arial"/>
                                <w:b/>
                                <w:bCs/>
                                <w:sz w:val="48"/>
                              </w:rPr>
                              <w:t>EN</w:t>
                            </w:r>
                          </w:p>
                        </w:txbxContent>
                      </v:textbox>
                      <w10:wrap anchorx="page" anchory="page"/>
                    </v:shape>
                  </w:pict>
                </mc:Fallback>
              </mc:AlternateContent>
            </w:r>
            <w:r w:rsidRPr="0068669A" w:rsidR="000D6A84">
              <w:rPr>
                <w:noProof/>
                <w:lang w:val="en-US"/>
              </w:rPr>
              <w:drawing>
                <wp:inline distT="0" distB="0" distL="0" distR="0" wp14:anchorId="7E5CD39F" wp14:editId="4A2F786B">
                  <wp:extent cx="1800000" cy="1559336"/>
                  <wp:effectExtent l="0" t="0" r="0" b="3175"/>
                  <wp:docPr id="37" name="Picture 37"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New LOGO\Logo\logo_CoR-vertical-positive-en-quadri_M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0" cy="1559336"/>
                          </a:xfrm>
                          <a:prstGeom prst="rect">
                            <a:avLst/>
                          </a:prstGeom>
                          <a:noFill/>
                          <a:ln>
                            <a:noFill/>
                          </a:ln>
                        </pic:spPr>
                      </pic:pic>
                    </a:graphicData>
                  </a:graphic>
                </wp:inline>
              </w:drawing>
            </w:r>
            <w:r w:rsidRPr="0068669A" w:rsidR="001B33A4">
              <w:rPr>
                <w:b/>
                <w:bCs/>
                <w:noProof/>
                <w:sz w:val="32"/>
                <w:lang w:val="en-US"/>
              </w:rPr>
              <w:drawing>
                <wp:anchor distT="0" distB="0" distL="114300" distR="114300" simplePos="0" relativeHeight="251661312" behindDoc="0" locked="0" layoutInCell="0" allowOverlap="0" wp14:editId="0ED64366" wp14:anchorId="1A2B6BE0">
                  <wp:simplePos x="0" y="0"/>
                  <wp:positionH relativeFrom="page">
                    <wp:posOffset>900430</wp:posOffset>
                  </wp:positionH>
                  <wp:positionV relativeFrom="page">
                    <wp:posOffset>10185400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rsidRPr="004A7DCD" w:rsidR="000D6A84" w:rsidP="001B33A4" w:rsidRDefault="000D6A84" w14:paraId="7E8B3DC6" w14:textId="77777777"/>
        </w:tc>
      </w:tr>
      <w:tr w:rsidRPr="004A7DCD" w:rsidR="00444A98" w:rsidTr="006D78CA" w14:paraId="0B5D8AB0" w14:textId="77777777">
        <w:trPr>
          <w:cantSplit/>
        </w:trPr>
        <w:tc>
          <w:tcPr>
            <w:tcW w:w="9289" w:type="dxa"/>
            <w:gridSpan w:val="2"/>
          </w:tcPr>
          <w:p w:rsidRPr="004A7DCD" w:rsidR="00444A98" w:rsidP="003A043C" w:rsidRDefault="007A13CA" w14:paraId="78345994" w14:textId="77777777">
            <w:pPr>
              <w:jc w:val="right"/>
              <w:rPr>
                <w:b/>
                <w:bCs/>
                <w:sz w:val="28"/>
              </w:rPr>
            </w:pPr>
            <w:r w:rsidRPr="004A7DCD">
              <w:rPr>
                <w:b/>
                <w:bCs/>
                <w:sz w:val="28"/>
              </w:rPr>
              <w:t>SEDEC-VI/052</w:t>
            </w:r>
          </w:p>
        </w:tc>
      </w:tr>
      <w:tr w:rsidRPr="004A7DCD" w:rsidR="00444A98" w:rsidTr="006D78CA" w14:paraId="3953D413" w14:textId="77777777">
        <w:tc>
          <w:tcPr>
            <w:tcW w:w="9289" w:type="dxa"/>
            <w:gridSpan w:val="2"/>
          </w:tcPr>
          <w:p w:rsidRPr="004A7DCD" w:rsidR="00444A98" w:rsidRDefault="00D93CEA" w14:paraId="1E9E4899" w14:textId="3AE469F6">
            <w:pPr>
              <w:jc w:val="center"/>
              <w:rPr>
                <w:b/>
                <w:bCs/>
                <w:sz w:val="28"/>
              </w:rPr>
            </w:pPr>
            <w:r w:rsidRPr="004A7DCD">
              <w:rPr>
                <w:b/>
                <w:bCs/>
                <w:sz w:val="28"/>
              </w:rPr>
              <w:t>138</w:t>
            </w:r>
            <w:r w:rsidRPr="004A7DCD" w:rsidR="00F7144E">
              <w:rPr>
                <w:b/>
                <w:bCs/>
                <w:sz w:val="28"/>
              </w:rPr>
              <w:t>th</w:t>
            </w:r>
            <w:r w:rsidRPr="004A7DCD">
              <w:rPr>
                <w:b/>
                <w:bCs/>
                <w:sz w:val="28"/>
              </w:rPr>
              <w:t xml:space="preserve"> plenary session</w:t>
            </w:r>
            <w:r w:rsidRPr="004A7DCD" w:rsidR="00444A98">
              <w:rPr>
                <w:b/>
                <w:bCs/>
                <w:sz w:val="28"/>
              </w:rPr>
              <w:t xml:space="preserve">, </w:t>
            </w:r>
            <w:r w:rsidRPr="004A7DCD" w:rsidR="007722BF">
              <w:rPr>
                <w:b/>
                <w:bCs/>
                <w:sz w:val="28"/>
              </w:rPr>
              <w:t>11-12</w:t>
            </w:r>
            <w:r w:rsidRPr="004A7DCD" w:rsidR="007A13CA">
              <w:rPr>
                <w:b/>
                <w:bCs/>
                <w:sz w:val="28"/>
              </w:rPr>
              <w:t xml:space="preserve"> </w:t>
            </w:r>
            <w:r w:rsidRPr="004A7DCD">
              <w:rPr>
                <w:b/>
                <w:bCs/>
                <w:sz w:val="28"/>
              </w:rPr>
              <w:t>February</w:t>
            </w:r>
            <w:r w:rsidRPr="004A7DCD" w:rsidR="007A13CA">
              <w:rPr>
                <w:b/>
                <w:bCs/>
                <w:sz w:val="28"/>
              </w:rPr>
              <w:t xml:space="preserve"> </w:t>
            </w:r>
            <w:r w:rsidRPr="004A7DCD" w:rsidR="002765BC">
              <w:rPr>
                <w:b/>
                <w:bCs/>
                <w:sz w:val="28"/>
              </w:rPr>
              <w:t>2020</w:t>
            </w:r>
          </w:p>
        </w:tc>
      </w:tr>
    </w:tbl>
    <w:p w:rsidRPr="004A7DCD" w:rsidR="00444A98" w:rsidP="003A043C" w:rsidRDefault="00444A98" w14:paraId="5FFBA31C" w14:textId="05D2E1CD"/>
    <w:p w:rsidRPr="004A7DCD" w:rsidR="00444A98" w:rsidP="003A043C" w:rsidRDefault="00444A98" w14:paraId="53AD4A94" w14:textId="77777777"/>
    <w:p w:rsidRPr="004A7DCD" w:rsidR="001B33A4" w:rsidP="003A043C" w:rsidRDefault="00444A98" w14:paraId="3A12EEB3" w14:textId="606BCEC6">
      <w:pPr>
        <w:jc w:val="center"/>
        <w:rPr>
          <w:b/>
          <w:bCs/>
          <w:sz w:val="28"/>
        </w:rPr>
      </w:pPr>
      <w:r w:rsidRPr="004A7DCD">
        <w:rPr>
          <w:b/>
          <w:bCs/>
          <w:sz w:val="28"/>
        </w:rPr>
        <w:t>OPINION</w:t>
      </w:r>
    </w:p>
    <w:p w:rsidRPr="004A7DCD" w:rsidR="001B33A4" w:rsidP="006D78CA" w:rsidRDefault="001B33A4" w14:paraId="035C2831" w14:textId="77777777"/>
    <w:p w:rsidRPr="004A7DCD" w:rsidR="00444A98" w:rsidP="003A043C" w:rsidRDefault="007A13CA" w14:paraId="715B9855" w14:textId="77777777">
      <w:pPr>
        <w:jc w:val="center"/>
        <w:rPr>
          <w:sz w:val="28"/>
          <w:szCs w:val="28"/>
        </w:rPr>
      </w:pPr>
      <w:r w:rsidRPr="004A7DCD">
        <w:rPr>
          <w:b/>
          <w:bCs/>
          <w:sz w:val="28"/>
          <w:szCs w:val="28"/>
        </w:rPr>
        <w:t>Brain drain in the EU: addressing the challenge at all levels</w:t>
      </w:r>
    </w:p>
    <w:p w:rsidRPr="004A7DCD" w:rsidR="00444A98" w:rsidP="003A043C" w:rsidRDefault="00444A98" w14:paraId="61EFDEC0" w14:textId="77777777">
      <w:pPr>
        <w:jc w:val="left"/>
      </w:pPr>
    </w:p>
    <w:p w:rsidRPr="00884617" w:rsidR="00806353" w:rsidP="00806353" w:rsidRDefault="00806353" w14:paraId="3624DE4D" w14:textId="77777777">
      <w:pPr>
        <w:overflowPunct/>
        <w:adjustRightInd/>
        <w:jc w:val="left"/>
        <w:textAlignment w:val="auto"/>
        <w:rPr>
          <w:lang w:val="en-US"/>
        </w:rPr>
      </w:pPr>
    </w:p>
    <w:p w:rsidRPr="00884617" w:rsidR="00806353" w:rsidP="00806353" w:rsidRDefault="00806353" w14:paraId="3F70FDAC" w14:textId="77777777">
      <w:pPr>
        <w:overflowPunct/>
        <w:adjustRightInd/>
        <w:jc w:val="left"/>
        <w:textAlignment w:val="auto"/>
        <w:rPr>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289"/>
      </w:tblGrid>
      <w:tr w:rsidRPr="00884617" w:rsidR="00806353" w:rsidTr="00391405" w14:paraId="2EF2954C" w14:textId="77777777">
        <w:tc>
          <w:tcPr>
            <w:tcW w:w="9289" w:type="dxa"/>
            <w:tcMar>
              <w:top w:w="108" w:type="dxa"/>
            </w:tcMar>
          </w:tcPr>
          <w:p w:rsidRPr="00884617" w:rsidR="00806353" w:rsidP="00391405" w:rsidRDefault="00806353" w14:paraId="3374CEE6" w14:textId="77777777">
            <w:pPr>
              <w:overflowPunct/>
              <w:adjustRightInd/>
              <w:jc w:val="left"/>
              <w:textAlignment w:val="auto"/>
              <w:rPr>
                <w:lang w:val="en-US"/>
              </w:rPr>
            </w:pPr>
            <w:r w:rsidRPr="00884617">
              <w:rPr>
                <w:lang w:val="en-US"/>
              </w:rPr>
              <w:t>THE EUROPEAN COMMITTEE OF THE REGIONS</w:t>
            </w:r>
          </w:p>
          <w:p w:rsidRPr="00884617" w:rsidR="00806353" w:rsidP="00391405" w:rsidRDefault="00806353" w14:paraId="23322BE4" w14:textId="77777777">
            <w:pPr>
              <w:overflowPunct/>
              <w:adjustRightInd/>
              <w:textAlignment w:val="auto"/>
              <w:rPr>
                <w:lang w:val="en-US"/>
              </w:rPr>
            </w:pPr>
          </w:p>
          <w:p w:rsidRPr="00884617" w:rsidR="00806353" w:rsidP="00F42C06" w:rsidRDefault="00F42C06" w14:paraId="56CA979A" w14:textId="1F27D1E6">
            <w:pPr>
              <w:numPr>
                <w:ilvl w:val="0"/>
                <w:numId w:val="4"/>
              </w:numPr>
              <w:overflowPunct/>
              <w:adjustRightInd/>
              <w:textAlignment w:val="auto"/>
              <w:rPr>
                <w:lang w:val="en-US"/>
              </w:rPr>
            </w:pPr>
            <w:r w:rsidRPr="00F42C06">
              <w:rPr>
                <w:lang w:val="en-US"/>
              </w:rPr>
              <w:t>draws attention to the risk brain drain poses to the long-term sustainability of the European project. Sending regions are in a double bind: they need convergence (to close the gap with receiving regions), but are losing their skilled workforce. In the long term, any change or transition to a sustainable and competitive economic model based on the knowledge economy and high added-value products would seem very difficult to achieve in a scenario where disparities between sending and receiving regions are widening.</w:t>
            </w:r>
          </w:p>
          <w:p w:rsidRPr="00F42C06" w:rsidR="00F42C06" w:rsidP="00F42C06" w:rsidRDefault="00F42C06" w14:paraId="5874F1A1" w14:textId="4D3E466B">
            <w:pPr>
              <w:numPr>
                <w:ilvl w:val="0"/>
                <w:numId w:val="3"/>
              </w:numPr>
              <w:overflowPunct/>
              <w:adjustRightInd/>
              <w:textAlignment w:val="auto"/>
              <w:rPr>
                <w:lang w:val="en-US"/>
              </w:rPr>
            </w:pPr>
            <w:r w:rsidRPr="00F42C06">
              <w:rPr>
                <w:lang w:val="en-US"/>
              </w:rPr>
              <w:t>suggests that LRAs set up local alliances, including all stakeholders (public authorities, businesses, universities, NGOs, etc.), which are able to draft and implement local policies that help to mitigate brain drain.</w:t>
            </w:r>
          </w:p>
          <w:p w:rsidR="00806353" w:rsidP="004B698F" w:rsidRDefault="004B698F" w14:paraId="3526DD9E" w14:textId="2F0CDCC5">
            <w:pPr>
              <w:numPr>
                <w:ilvl w:val="0"/>
                <w:numId w:val="3"/>
              </w:numPr>
              <w:overflowPunct/>
              <w:adjustRightInd/>
              <w:textAlignment w:val="auto"/>
              <w:rPr>
                <w:lang w:val="en-US"/>
              </w:rPr>
            </w:pPr>
            <w:r w:rsidRPr="004B698F">
              <w:rPr>
                <w:lang w:val="en-US"/>
              </w:rPr>
              <w:t>recommends that different types of response be identified and implemented for each subcomponent of the brain drain phenomenon – brain gain, brain waste, brain circulation and re-migration. Each of these areas calls for different, specific solutions;</w:t>
            </w:r>
          </w:p>
          <w:p w:rsidR="004B698F" w:rsidP="004B698F" w:rsidRDefault="004B698F" w14:paraId="4C8C576C" w14:textId="6FC9C707">
            <w:pPr>
              <w:numPr>
                <w:ilvl w:val="0"/>
                <w:numId w:val="3"/>
              </w:numPr>
              <w:overflowPunct/>
              <w:adjustRightInd/>
              <w:textAlignment w:val="auto"/>
              <w:rPr>
                <w:lang w:val="en-US"/>
              </w:rPr>
            </w:pPr>
            <w:r w:rsidRPr="004B698F">
              <w:rPr>
                <w:lang w:val="en-US"/>
              </w:rPr>
              <w:t>recommends that the European Commission steps up its efforts to reduce regional disparities, which are one of the major causes of brain drain. The cohesion funds play a crucial role in supporting our regions and areas that suffer from such disparities</w:t>
            </w:r>
            <w:r w:rsidR="004A13C0">
              <w:rPr>
                <w:lang w:val="en-US"/>
              </w:rPr>
              <w:t>;</w:t>
            </w:r>
            <w:r w:rsidRPr="004B698F">
              <w:rPr>
                <w:lang w:val="en-US"/>
              </w:rPr>
              <w:t xml:space="preserve"> </w:t>
            </w:r>
          </w:p>
          <w:p w:rsidR="004B698F" w:rsidP="004B698F" w:rsidRDefault="004B698F" w14:paraId="57D7450A" w14:textId="31A67ED2">
            <w:pPr>
              <w:numPr>
                <w:ilvl w:val="0"/>
                <w:numId w:val="3"/>
              </w:numPr>
              <w:overflowPunct/>
              <w:adjustRightInd/>
              <w:textAlignment w:val="auto"/>
              <w:rPr>
                <w:lang w:val="en-US"/>
              </w:rPr>
            </w:pPr>
            <w:r w:rsidRPr="004B698F">
              <w:rPr>
                <w:lang w:val="en-US"/>
              </w:rPr>
              <w:t>considers it crucial that LRAs understand the importance of universities' and vocational education and training providers' role in local development within the knowledge-based economy. Public authorities need to develop partnerships with universities, and also to be aware of the need to support universities, including through investment in local infrastructure.</w:t>
            </w:r>
          </w:p>
          <w:p w:rsidRPr="00C6602B" w:rsidR="00806353" w:rsidP="00473A4A" w:rsidRDefault="004B698F" w14:paraId="2F10B4BD" w14:textId="22E87279">
            <w:pPr>
              <w:numPr>
                <w:ilvl w:val="0"/>
                <w:numId w:val="3"/>
              </w:numPr>
              <w:overflowPunct/>
              <w:adjustRightInd/>
              <w:textAlignment w:val="auto"/>
              <w:rPr>
                <w:szCs w:val="22"/>
                <w:lang w:val="en-US"/>
              </w:rPr>
            </w:pPr>
            <w:r w:rsidRPr="004B698F">
              <w:rPr>
                <w:lang w:val="en-US"/>
              </w:rPr>
              <w:t xml:space="preserve">recommends that the European Commission actively support – in close cooperation with the European Committee of the Regions, the European Parliament and the EU Council of Ministers – </w:t>
            </w:r>
            <w:r w:rsidRPr="004B698F">
              <w:rPr>
                <w:lang w:val="en-US"/>
              </w:rPr>
              <w:lastRenderedPageBreak/>
              <w:t>the efforts of local and regional public bodies in addressing brain drain.</w:t>
            </w:r>
          </w:p>
        </w:tc>
      </w:tr>
    </w:tbl>
    <w:p w:rsidR="00806353" w:rsidP="00806353" w:rsidRDefault="00806353" w14:paraId="2B5647E6" w14:textId="77777777">
      <w:pPr>
        <w:overflowPunct/>
        <w:adjustRightInd/>
        <w:textAlignment w:val="auto"/>
        <w:rPr>
          <w:lang w:val="en-US"/>
        </w:rPr>
      </w:pPr>
    </w:p>
    <w:p w:rsidRPr="004A7DCD" w:rsidR="000D6A84" w:rsidP="000D6A84" w:rsidRDefault="000D6A84" w14:paraId="46B0E16B" w14:textId="77777777"/>
    <w:p w:rsidRPr="004A7DCD" w:rsidR="000D6A84" w:rsidP="000D6A84" w:rsidRDefault="000D6A84" w14:paraId="0AC49479" w14:textId="77777777">
      <w:pPr>
        <w:tabs>
          <w:tab w:val="left" w:pos="440"/>
        </w:tabs>
        <w:ind w:left="440" w:hanging="440"/>
        <w:sectPr w:rsidRPr="004A7DCD" w:rsidR="000D6A84" w:rsidSect="007A1D0D">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Pr="004A7DCD" w:rsidR="00444A98" w:rsidTr="006D78CA" w14:paraId="069EBAF0" w14:textId="77777777">
        <w:trPr>
          <w:trHeight w:val="12474"/>
        </w:trPr>
        <w:tc>
          <w:tcPr>
            <w:tcW w:w="9289" w:type="dxa"/>
            <w:vAlign w:val="bottom"/>
          </w:tcPr>
          <w:p w:rsidRPr="00884617" w:rsidR="00806353" w:rsidP="00806353" w:rsidRDefault="00806353" w14:paraId="41AC305C" w14:textId="77777777">
            <w:pPr>
              <w:overflowPunct/>
              <w:adjustRightInd/>
              <w:textAlignment w:val="auto"/>
              <w:rPr>
                <w:lang w:val="en-US"/>
              </w:rPr>
            </w:pPr>
            <w:r w:rsidRPr="00884617">
              <w:rPr>
                <w:u w:val="single"/>
                <w:lang w:val="en-US"/>
              </w:rPr>
              <w:t>Rapporteur</w:t>
            </w:r>
          </w:p>
          <w:p w:rsidRPr="00884617" w:rsidR="00806353" w:rsidP="00806353" w:rsidRDefault="00806353" w14:paraId="05C81A28" w14:textId="77777777">
            <w:pPr>
              <w:overflowPunct/>
              <w:adjustRightInd/>
              <w:textAlignment w:val="auto"/>
              <w:rPr>
                <w:lang w:val="en-US"/>
              </w:rPr>
            </w:pPr>
          </w:p>
          <w:p w:rsidRPr="00473A4A" w:rsidR="00806353" w:rsidP="00473A4A" w:rsidRDefault="00806353" w14:paraId="476AAD6B" w14:textId="34B7E613">
            <w:pPr>
              <w:overflowPunct/>
              <w:adjustRightInd/>
              <w:textAlignment w:val="auto"/>
              <w:rPr>
                <w:lang w:val="en-US"/>
              </w:rPr>
            </w:pPr>
            <w:r w:rsidRPr="00473A4A">
              <w:t xml:space="preserve">Emil </w:t>
            </w:r>
            <w:r w:rsidRPr="00C6602B" w:rsidR="00C6602B">
              <w:t xml:space="preserve">BOC </w:t>
            </w:r>
            <w:r w:rsidRPr="00473A4A">
              <w:t>(RO/EPP)</w:t>
            </w:r>
            <w:r w:rsidRPr="00C6602B">
              <w:rPr>
                <w:lang w:val="en-US"/>
              </w:rPr>
              <w:t xml:space="preserve">, </w:t>
            </w:r>
            <w:r w:rsidRPr="00473A4A">
              <w:t>Mayor of Cluj-Napoca</w:t>
            </w:r>
          </w:p>
          <w:p w:rsidRPr="004A7DCD" w:rsidR="00444A98" w:rsidP="003A043C" w:rsidRDefault="00444A98" w14:paraId="65158BBD" w14:textId="77777777"/>
        </w:tc>
      </w:tr>
    </w:tbl>
    <w:p w:rsidRPr="004A7DCD" w:rsidR="00444A98" w:rsidP="003A043C" w:rsidRDefault="00444A98" w14:paraId="12764489" w14:textId="77777777">
      <w:pPr>
        <w:rPr>
          <w:szCs w:val="22"/>
        </w:rPr>
      </w:pPr>
    </w:p>
    <w:p w:rsidRPr="004A7DCD" w:rsidR="00444A98" w:rsidP="0068669A" w:rsidRDefault="00444A98" w14:paraId="5E2FE9D9" w14:textId="531ADBE3">
      <w:pPr>
        <w:ind w:left="170" w:right="170"/>
        <w:jc w:val="center"/>
      </w:pPr>
      <w:r w:rsidRPr="004A7DCD">
        <w:rPr>
          <w:rFonts w:ascii="Times New Roman Bold" w:hAnsi="Times New Roman Bold"/>
          <w:b/>
          <w:bCs/>
          <w:szCs w:val="22"/>
        </w:rPr>
        <w:br w:type="page"/>
      </w:r>
      <w:r w:rsidR="00041B59">
        <w:rPr>
          <w:b/>
        </w:rPr>
        <w:t>O</w:t>
      </w:r>
      <w:r w:rsidRPr="004A7DCD">
        <w:rPr>
          <w:b/>
        </w:rPr>
        <w:t>pinion of the</w:t>
      </w:r>
      <w:r w:rsidR="004A7DCD">
        <w:rPr>
          <w:b/>
        </w:rPr>
        <w:t xml:space="preserve"> </w:t>
      </w:r>
      <w:r w:rsidRPr="004A7DCD" w:rsidR="00B640E2">
        <w:rPr>
          <w:b/>
        </w:rPr>
        <w:t xml:space="preserve">European Committee of the Regions </w:t>
      </w:r>
      <w:r w:rsidRPr="004A7DCD" w:rsidR="00054C72">
        <w:rPr>
          <w:b/>
        </w:rPr>
        <w:t>– Brain drain in the EU: addressing the challenge at all levels</w:t>
      </w:r>
    </w:p>
    <w:p w:rsidRPr="004A7DCD" w:rsidR="003A043C" w:rsidP="003A043C" w:rsidRDefault="003A043C" w14:paraId="6F2B1EDE" w14:textId="77777777"/>
    <w:p w:rsidRPr="002115C0" w:rsidR="00444A98" w:rsidP="00680676" w:rsidRDefault="00444A98" w14:paraId="644C2036" w14:textId="77777777">
      <w:pPr>
        <w:keepNext/>
        <w:numPr>
          <w:ilvl w:val="0"/>
          <w:numId w:val="2"/>
        </w:numPr>
        <w:ind w:left="567" w:hanging="567"/>
        <w:rPr>
          <w:b/>
        </w:rPr>
      </w:pPr>
      <w:r w:rsidRPr="00473A4A">
        <w:rPr>
          <w:b/>
        </w:rPr>
        <w:t>POLICY</w:t>
      </w:r>
      <w:r w:rsidRPr="002115C0">
        <w:rPr>
          <w:b/>
        </w:rPr>
        <w:t xml:space="preserve"> RECOMMENDATIONS</w:t>
      </w:r>
    </w:p>
    <w:p w:rsidRPr="004A7DCD" w:rsidR="00444A98" w:rsidP="003E420C" w:rsidRDefault="00444A98" w14:paraId="577C914E" w14:textId="77777777">
      <w:pPr>
        <w:keepNext/>
      </w:pPr>
    </w:p>
    <w:p w:rsidRPr="004A7DCD" w:rsidR="00444A98" w:rsidP="003E420C" w:rsidRDefault="00444A98" w14:paraId="60DF476F" w14:textId="77777777">
      <w:pPr>
        <w:keepNext/>
      </w:pPr>
      <w:r w:rsidRPr="004A7DCD">
        <w:t xml:space="preserve">THE </w:t>
      </w:r>
      <w:r w:rsidRPr="004A7DCD" w:rsidR="005C4B78">
        <w:t xml:space="preserve">EUROPEAN </w:t>
      </w:r>
      <w:r w:rsidRPr="004A7DCD">
        <w:t>COMMITTEE OF THE REGIONS</w:t>
      </w:r>
    </w:p>
    <w:p w:rsidRPr="004A7DCD" w:rsidR="00444A98" w:rsidP="003E420C" w:rsidRDefault="00444A98" w14:paraId="70C44EF4" w14:textId="77777777">
      <w:pPr>
        <w:keepNext/>
      </w:pPr>
    </w:p>
    <w:p w:rsidRPr="004A7DCD" w:rsidR="00444A98" w:rsidP="003A043C" w:rsidRDefault="00A73052" w14:paraId="3615DA7B" w14:textId="67CCC708">
      <w:pPr>
        <w:pStyle w:val="Heading1"/>
        <w:ind w:left="567" w:hanging="567"/>
      </w:pPr>
      <w:r w:rsidRPr="004A7DCD">
        <w:t xml:space="preserve">emphasises </w:t>
      </w:r>
      <w:r w:rsidRPr="004A7DCD" w:rsidR="00054C72">
        <w:t xml:space="preserve">that freedom of movement of citizens and workers is the foundation of the internal market and one of the main </w:t>
      </w:r>
      <w:r w:rsidRPr="004A7DCD">
        <w:t>freedoms recognised in</w:t>
      </w:r>
      <w:r w:rsidRPr="004A7DCD" w:rsidR="0076577D">
        <w:t xml:space="preserve"> Treaties of</w:t>
      </w:r>
      <w:r w:rsidRPr="004A7DCD">
        <w:t xml:space="preserve"> the </w:t>
      </w:r>
      <w:r w:rsidRPr="004A7DCD" w:rsidR="0076577D">
        <w:t>European Union</w:t>
      </w:r>
      <w:r w:rsidRPr="004A7DCD" w:rsidR="00054C72">
        <w:t xml:space="preserve">. Citizens and workers must </w:t>
      </w:r>
      <w:r w:rsidRPr="004A7DCD">
        <w:t xml:space="preserve">be able to </w:t>
      </w:r>
      <w:r w:rsidRPr="004A7DCD" w:rsidR="00054C72">
        <w:t>move freely</w:t>
      </w:r>
      <w:r w:rsidRPr="004A7DCD" w:rsidR="001C0BC5">
        <w:t xml:space="preserve"> within the EU</w:t>
      </w:r>
      <w:r w:rsidRPr="004A7DCD" w:rsidR="00054C72">
        <w:t xml:space="preserve">; however, </w:t>
      </w:r>
      <w:r w:rsidRPr="004A7DCD">
        <w:t xml:space="preserve">they should move </w:t>
      </w:r>
      <w:r w:rsidRPr="004A7DCD" w:rsidR="00054C72">
        <w:t>because they want to and not because they are pushed from their regions</w:t>
      </w:r>
      <w:r w:rsidRPr="00711E44" w:rsidR="00711E44">
        <w:rPr>
          <w:bCs/>
          <w:iCs/>
        </w:rPr>
        <w:t>, among others,</w:t>
      </w:r>
      <w:r w:rsidRPr="00711E44" w:rsidR="00711E44">
        <w:t xml:space="preserve"> </w:t>
      </w:r>
      <w:r w:rsidRPr="004A7DCD" w:rsidR="00054C72">
        <w:t xml:space="preserve">by </w:t>
      </w:r>
      <w:r w:rsidRPr="004A7DCD" w:rsidR="0076577D">
        <w:t>scarce</w:t>
      </w:r>
      <w:r w:rsidRPr="004A7DCD" w:rsidR="00054C72">
        <w:t xml:space="preserve"> economic opportunities;</w:t>
      </w:r>
    </w:p>
    <w:p w:rsidRPr="004A7DCD" w:rsidR="00054C72" w:rsidP="00054C72" w:rsidRDefault="00054C72" w14:paraId="7F6B73A0" w14:textId="77777777"/>
    <w:p w:rsidRPr="004A7DCD" w:rsidR="00054C72" w:rsidP="00054C72" w:rsidRDefault="00A73052" w14:paraId="583FC440" w14:textId="2C62E3E3">
      <w:pPr>
        <w:pStyle w:val="Heading1"/>
        <w:ind w:left="567" w:hanging="567"/>
      </w:pPr>
      <w:r w:rsidRPr="004A7DCD">
        <w:t xml:space="preserve">notes </w:t>
      </w:r>
      <w:r w:rsidRPr="004A7DCD" w:rsidR="00054C72">
        <w:t xml:space="preserve">that the challenge is to </w:t>
      </w:r>
      <w:r w:rsidRPr="004A7DCD" w:rsidR="00E438F6">
        <w:t xml:space="preserve">achieve a </w:t>
      </w:r>
      <w:r w:rsidRPr="004A7DCD" w:rsidR="00054C72">
        <w:t xml:space="preserve">balance in legal and policy terms </w:t>
      </w:r>
      <w:r w:rsidRPr="004A7DCD" w:rsidR="00E438F6">
        <w:t xml:space="preserve">between </w:t>
      </w:r>
      <w:r w:rsidRPr="004A7DCD" w:rsidR="00054C72">
        <w:t xml:space="preserve">two essential principles of the European Union: free </w:t>
      </w:r>
      <w:r w:rsidRPr="004A7DCD" w:rsidR="00E438F6">
        <w:t xml:space="preserve">movement of </w:t>
      </w:r>
      <w:r w:rsidRPr="004A7DCD" w:rsidR="00054C72">
        <w:t>labo</w:t>
      </w:r>
      <w:r w:rsidRPr="004A7DCD" w:rsidR="000C5B50">
        <w:t>u</w:t>
      </w:r>
      <w:r w:rsidRPr="004A7DCD" w:rsidR="00054C72">
        <w:t xml:space="preserve">r </w:t>
      </w:r>
      <w:r w:rsidRPr="004A7DCD">
        <w:t xml:space="preserve">and </w:t>
      </w:r>
      <w:r w:rsidRPr="004A7DCD" w:rsidR="00054C72">
        <w:t>economic and social convergence between regions;</w:t>
      </w:r>
    </w:p>
    <w:p w:rsidRPr="004A7DCD" w:rsidR="00054C72" w:rsidP="00054C72" w:rsidRDefault="00054C72" w14:paraId="2158A04C" w14:textId="77777777"/>
    <w:p w:rsidRPr="004A7DCD" w:rsidR="00054C72" w:rsidP="00054C72" w:rsidRDefault="00E438F6" w14:paraId="600A3D4D" w14:textId="0977CEF9">
      <w:pPr>
        <w:pStyle w:val="Heading1"/>
        <w:ind w:left="567" w:hanging="567"/>
      </w:pPr>
      <w:r w:rsidRPr="004A7DCD">
        <w:t xml:space="preserve">observes </w:t>
      </w:r>
      <w:r w:rsidRPr="004A7DCD" w:rsidR="00054C72">
        <w:t xml:space="preserve">that the issue of brain drain in the European Union is complex, </w:t>
      </w:r>
      <w:r w:rsidRPr="004A7DCD">
        <w:t xml:space="preserve">and calls </w:t>
      </w:r>
      <w:r w:rsidRPr="004A7DCD" w:rsidR="00054C72">
        <w:t xml:space="preserve">for a pragmatic policy response from both the Union and the Member States. </w:t>
      </w:r>
      <w:r w:rsidRPr="004A7DCD" w:rsidR="00A73052">
        <w:t xml:space="preserve">That </w:t>
      </w:r>
      <w:r w:rsidRPr="004A7DCD" w:rsidR="00054C72">
        <w:t xml:space="preserve">response should </w:t>
      </w:r>
      <w:r w:rsidRPr="004A7DCD" w:rsidR="00A73052">
        <w:t xml:space="preserve">address </w:t>
      </w:r>
      <w:r w:rsidRPr="004A7DCD" w:rsidR="00054C72">
        <w:t xml:space="preserve">all </w:t>
      </w:r>
      <w:r w:rsidRPr="004A7DCD" w:rsidR="00A73052">
        <w:t xml:space="preserve">aspects </w:t>
      </w:r>
      <w:r w:rsidRPr="004A7DCD" w:rsidR="00054C72">
        <w:t>of brain drain (e.g. brain gain, brain waste, brain circulation, re-migration)</w:t>
      </w:r>
      <w:r w:rsidRPr="004A7DCD" w:rsidR="00A73052">
        <w:t>,</w:t>
      </w:r>
      <w:r w:rsidRPr="004A7DCD" w:rsidR="00054C72">
        <w:t xml:space="preserve"> as well as the different</w:t>
      </w:r>
      <w:r w:rsidRPr="004A7DCD" w:rsidR="00A73052">
        <w:t>,</w:t>
      </w:r>
      <w:r w:rsidRPr="004A7DCD" w:rsidR="00054C72">
        <w:t xml:space="preserve"> </w:t>
      </w:r>
      <w:r w:rsidRPr="004A7DCD" w:rsidR="00A73052">
        <w:t xml:space="preserve">but </w:t>
      </w:r>
      <w:r w:rsidRPr="004A7DCD" w:rsidR="00054C72">
        <w:t>often interconnected</w:t>
      </w:r>
      <w:r w:rsidRPr="004A7DCD" w:rsidR="00A73052">
        <w:t>,</w:t>
      </w:r>
      <w:r w:rsidRPr="004A7DCD" w:rsidR="00054C72">
        <w:t xml:space="preserve"> levels </w:t>
      </w:r>
      <w:r w:rsidRPr="004A7DCD" w:rsidR="00A73052">
        <w:t xml:space="preserve">where action and </w:t>
      </w:r>
      <w:r w:rsidRPr="004A7DCD" w:rsidR="00054C72">
        <w:t xml:space="preserve">solutions </w:t>
      </w:r>
      <w:r w:rsidRPr="004A7DCD" w:rsidR="00A73052">
        <w:t>are needed –</w:t>
      </w:r>
      <w:r w:rsidRPr="004A7DCD" w:rsidR="00054C72">
        <w:t xml:space="preserve"> local, regional, national, and supranational (EU);</w:t>
      </w:r>
    </w:p>
    <w:p w:rsidRPr="004A7DCD" w:rsidR="00054C72" w:rsidP="00054C72" w:rsidRDefault="00054C72" w14:paraId="03DEADEF" w14:textId="77777777"/>
    <w:p w:rsidRPr="004A7DCD" w:rsidR="00054C72" w:rsidP="00054C72" w:rsidRDefault="0085234E" w14:paraId="10C36013" w14:textId="734FCE8A">
      <w:pPr>
        <w:pStyle w:val="Heading1"/>
        <w:ind w:left="567" w:hanging="567"/>
      </w:pPr>
      <w:r w:rsidRPr="004A7DCD">
        <w:t xml:space="preserve">considers </w:t>
      </w:r>
      <w:r w:rsidRPr="004A7DCD" w:rsidR="00054C72">
        <w:t xml:space="preserve">that decision-makers at all levels need to acknowledge and factor into the solutions proposed </w:t>
      </w:r>
      <w:r w:rsidRPr="004A7DCD">
        <w:t xml:space="preserve">the fact that </w:t>
      </w:r>
      <w:r w:rsidRPr="004A7DCD" w:rsidR="00054C72">
        <w:t>brain drain is not just a technical issue requiring an administrative</w:t>
      </w:r>
      <w:r w:rsidRPr="004A7DCD">
        <w:t xml:space="preserve"> or </w:t>
      </w:r>
      <w:r w:rsidRPr="004A7DCD" w:rsidR="00054C72">
        <w:t>policy response</w:t>
      </w:r>
      <w:r w:rsidRPr="004A7DCD" w:rsidR="00E438F6">
        <w:t>,</w:t>
      </w:r>
      <w:r w:rsidRPr="004A7DCD" w:rsidR="00054C72">
        <w:t xml:space="preserve"> but also a political </w:t>
      </w:r>
      <w:r w:rsidRPr="004A7DCD">
        <w:t>matter</w:t>
      </w:r>
      <w:r w:rsidRPr="004A7DCD" w:rsidR="00054C72">
        <w:t xml:space="preserve">. Left unaddressed, </w:t>
      </w:r>
      <w:r w:rsidRPr="004A7DCD" w:rsidR="001C0BC5">
        <w:t xml:space="preserve">the phenomenon </w:t>
      </w:r>
      <w:r w:rsidRPr="004A7DCD" w:rsidR="00054C72">
        <w:t xml:space="preserve">will have long-term and permanent effects on the future of the European Union and is likely to </w:t>
      </w:r>
      <w:r w:rsidRPr="004A7DCD" w:rsidR="00C04E99">
        <w:rPr>
          <w:bCs/>
          <w:iCs/>
        </w:rPr>
        <w:t>hamper territorial cohesion</w:t>
      </w:r>
      <w:r w:rsidRPr="004A7DCD">
        <w:t>;</w:t>
      </w:r>
    </w:p>
    <w:p w:rsidRPr="004A7DCD" w:rsidR="00054C72" w:rsidP="00054C72" w:rsidRDefault="00054C72" w14:paraId="32497FDC" w14:textId="77777777"/>
    <w:p w:rsidRPr="004A7DCD" w:rsidR="00054C72" w:rsidP="00054C72" w:rsidRDefault="0085234E" w14:paraId="48BAF549" w14:textId="176364AF">
      <w:pPr>
        <w:pStyle w:val="Heading1"/>
        <w:ind w:left="567" w:hanging="567"/>
      </w:pPr>
      <w:r w:rsidRPr="004A7DCD">
        <w:t xml:space="preserve">notes </w:t>
      </w:r>
      <w:r w:rsidRPr="004A7DCD" w:rsidR="00054C72">
        <w:t xml:space="preserve">that brain drain is directly triggered by existing social and economic imbalances </w:t>
      </w:r>
      <w:r w:rsidRPr="004A7DCD">
        <w:t xml:space="preserve">between </w:t>
      </w:r>
      <w:r w:rsidRPr="004A7DCD" w:rsidR="00054C72">
        <w:t>the EU regions</w:t>
      </w:r>
      <w:r w:rsidRPr="004A7DCD">
        <w:t>.</w:t>
      </w:r>
      <w:r w:rsidRPr="004A7DCD" w:rsidR="00054C72">
        <w:t xml:space="preserve"> Empirical studies</w:t>
      </w:r>
      <w:r w:rsidRPr="0068669A" w:rsidR="00054C72">
        <w:rPr>
          <w:sz w:val="24"/>
          <w:szCs w:val="24"/>
          <w:vertAlign w:val="superscript"/>
        </w:rPr>
        <w:footnoteReference w:id="1"/>
      </w:r>
      <w:r w:rsidRPr="0068669A" w:rsidR="00054C72">
        <w:rPr>
          <w:sz w:val="24"/>
          <w:szCs w:val="24"/>
          <w:vertAlign w:val="superscript"/>
        </w:rPr>
        <w:footnoteReference w:id="2"/>
      </w:r>
      <w:r w:rsidRPr="0068669A" w:rsidR="00054C72">
        <w:rPr>
          <w:sz w:val="24"/>
          <w:szCs w:val="24"/>
          <w:vertAlign w:val="superscript"/>
        </w:rPr>
        <w:footnoteReference w:id="3"/>
      </w:r>
      <w:r w:rsidRPr="004A7DCD" w:rsidR="00054C72">
        <w:t xml:space="preserve"> </w:t>
      </w:r>
      <w:r w:rsidRPr="004A7DCD" w:rsidR="003318A3">
        <w:t xml:space="preserve">identify </w:t>
      </w:r>
      <w:r w:rsidRPr="004A7DCD" w:rsidR="00054C72">
        <w:t>a series of push and pull factors</w:t>
      </w:r>
      <w:r w:rsidRPr="004A7DCD" w:rsidR="00E438F6">
        <w:t>,</w:t>
      </w:r>
      <w:r w:rsidRPr="004A7DCD" w:rsidR="00054C72">
        <w:t xml:space="preserve"> </w:t>
      </w:r>
      <w:r w:rsidRPr="004A7DCD" w:rsidR="00E438F6">
        <w:t xml:space="preserve">with receiving regions having a </w:t>
      </w:r>
      <w:r w:rsidRPr="004A7DCD" w:rsidR="00054C72">
        <w:t xml:space="preserve">more attractive labour market </w:t>
      </w:r>
      <w:r w:rsidRPr="004A7DCD" w:rsidR="00E438F6">
        <w:t xml:space="preserve">and </w:t>
      </w:r>
      <w:r w:rsidRPr="004A7DCD" w:rsidR="00054C72">
        <w:t xml:space="preserve">more diverse job opportunities and overall </w:t>
      </w:r>
      <w:r w:rsidRPr="004A7DCD" w:rsidR="00E438F6">
        <w:t xml:space="preserve">better </w:t>
      </w:r>
      <w:r w:rsidRPr="004A7DCD" w:rsidR="00054C72">
        <w:t>quality of life</w:t>
      </w:r>
      <w:r w:rsidRPr="004A7DCD" w:rsidR="00E438F6">
        <w:t>,</w:t>
      </w:r>
      <w:r w:rsidRPr="004A7DCD" w:rsidR="00054C72">
        <w:t xml:space="preserve"> </w:t>
      </w:r>
      <w:r w:rsidRPr="004A7DCD" w:rsidR="00E438F6">
        <w:t xml:space="preserve">while for </w:t>
      </w:r>
      <w:r w:rsidRPr="004A7DCD" w:rsidR="00054C72">
        <w:t>send</w:t>
      </w:r>
      <w:r w:rsidRPr="004A7DCD" w:rsidR="00542737">
        <w:t>ing</w:t>
      </w:r>
      <w:r w:rsidRPr="004A7DCD" w:rsidR="00054C72">
        <w:t xml:space="preserve"> regions</w:t>
      </w:r>
      <w:r w:rsidRPr="004A7DCD" w:rsidR="00E438F6">
        <w:t xml:space="preserve"> the situation is the opposite</w:t>
      </w:r>
      <w:r w:rsidRPr="004A7DCD" w:rsidR="00054C72">
        <w:t xml:space="preserve">. This is </w:t>
      </w:r>
      <w:r w:rsidRPr="004A7DCD" w:rsidR="003318A3">
        <w:t xml:space="preserve">another </w:t>
      </w:r>
      <w:r w:rsidRPr="004A7DCD" w:rsidR="00054C72">
        <w:t xml:space="preserve">reason </w:t>
      </w:r>
      <w:r w:rsidRPr="004A7DCD" w:rsidR="003318A3">
        <w:t xml:space="preserve">why </w:t>
      </w:r>
      <w:r w:rsidRPr="004A7DCD" w:rsidR="00054C72">
        <w:t>the future MFF should concentrate resources on</w:t>
      </w:r>
      <w:r w:rsidRPr="00711E44" w:rsidR="00711E44">
        <w:rPr>
          <w:rFonts w:eastAsiaTheme="minorEastAsia"/>
          <w:bCs/>
          <w:iCs/>
          <w:kern w:val="0"/>
          <w:szCs w:val="22"/>
        </w:rPr>
        <w:t xml:space="preserve"> </w:t>
      </w:r>
      <w:r w:rsidRPr="00711E44" w:rsidR="00711E44">
        <w:rPr>
          <w:bCs/>
          <w:iCs/>
        </w:rPr>
        <w:t>rectifying</w:t>
      </w:r>
      <w:r w:rsidRPr="004A7DCD" w:rsidR="00054C72">
        <w:t xml:space="preserve"> the </w:t>
      </w:r>
      <w:r w:rsidRPr="00711E44" w:rsidR="00711E44">
        <w:rPr>
          <w:bCs/>
          <w:iCs/>
        </w:rPr>
        <w:t>misbalance between sending and receiving</w:t>
      </w:r>
      <w:r w:rsidRPr="00711E44" w:rsidR="00711E44">
        <w:t xml:space="preserve"> </w:t>
      </w:r>
      <w:r w:rsidRPr="004A7DCD" w:rsidR="00054C72">
        <w:t>regions within the framework of cohesion policy</w:t>
      </w:r>
      <w:r w:rsidRPr="004A7DCD" w:rsidR="00537DC6">
        <w:t>;</w:t>
      </w:r>
    </w:p>
    <w:p w:rsidRPr="004A7DCD" w:rsidR="00537DC6" w:rsidP="00537DC6" w:rsidRDefault="00537DC6" w14:paraId="4760CD9B" w14:textId="77777777"/>
    <w:p w:rsidRPr="004A7DCD" w:rsidR="00537DC6" w:rsidP="00537DC6" w:rsidRDefault="00537DC6" w14:paraId="67BC9636" w14:textId="77777777">
      <w:pPr>
        <w:pStyle w:val="Heading1"/>
        <w:ind w:left="567" w:hanging="567"/>
      </w:pPr>
      <w:r w:rsidRPr="004A7DCD">
        <w:t xml:space="preserve">stresses that </w:t>
      </w:r>
      <w:r w:rsidRPr="004A7DCD" w:rsidR="0039665D">
        <w:t xml:space="preserve">there should be a strong association between </w:t>
      </w:r>
      <w:r w:rsidRPr="004A7DCD">
        <w:t xml:space="preserve">cohesion policy, which is meant to address these imbalances and to promote a more even development across the EU, </w:t>
      </w:r>
      <w:r w:rsidRPr="004A7DCD" w:rsidR="0039665D">
        <w:t xml:space="preserve">and </w:t>
      </w:r>
      <w:r w:rsidRPr="004A7DCD">
        <w:t>measures envis</w:t>
      </w:r>
      <w:r w:rsidRPr="004A7DCD" w:rsidR="0039665D">
        <w:t>aged</w:t>
      </w:r>
      <w:r w:rsidRPr="004A7DCD">
        <w:t xml:space="preserve"> to deal with brain drain. Two of the </w:t>
      </w:r>
      <w:r w:rsidRPr="004A7DCD" w:rsidR="0039665D">
        <w:t xml:space="preserve">key </w:t>
      </w:r>
      <w:r w:rsidRPr="004A7DCD">
        <w:t>Europe 2020</w:t>
      </w:r>
      <w:r w:rsidRPr="004A7DCD" w:rsidR="0039665D">
        <w:t xml:space="preserve"> </w:t>
      </w:r>
      <w:r w:rsidRPr="004A7DCD">
        <w:t xml:space="preserve">objectives, increasing the percentage of employed people and </w:t>
      </w:r>
      <w:r w:rsidRPr="004A7DCD" w:rsidR="0039665D">
        <w:t xml:space="preserve">improving </w:t>
      </w:r>
      <w:r w:rsidRPr="004A7DCD">
        <w:t xml:space="preserve">social inclusion, are directly </w:t>
      </w:r>
      <w:r w:rsidRPr="004A7DCD" w:rsidR="00E438F6">
        <w:t xml:space="preserve">relevant </w:t>
      </w:r>
      <w:r w:rsidRPr="004A7DCD">
        <w:t>to creating favourable conditions which will diminish brain drain</w:t>
      </w:r>
      <w:r w:rsidRPr="004A7DCD" w:rsidR="0039665D">
        <w:t>.</w:t>
      </w:r>
      <w:r w:rsidRPr="004A7DCD">
        <w:t xml:space="preserve"> </w:t>
      </w:r>
      <w:r w:rsidRPr="004A7DCD" w:rsidR="0039665D">
        <w:t>O</w:t>
      </w:r>
      <w:r w:rsidRPr="004A7DCD">
        <w:t xml:space="preserve">ther </w:t>
      </w:r>
      <w:r w:rsidRPr="004A7DCD" w:rsidR="0039665D">
        <w:t xml:space="preserve">Europe 2020 </w:t>
      </w:r>
      <w:r w:rsidRPr="004A7DCD">
        <w:t>objectives, such as innovation and increas</w:t>
      </w:r>
      <w:r w:rsidRPr="004A7DCD" w:rsidR="0039665D">
        <w:t>ing</w:t>
      </w:r>
      <w:r w:rsidRPr="004A7DCD">
        <w:t xml:space="preserve"> the number of people </w:t>
      </w:r>
      <w:r w:rsidRPr="004A7DCD" w:rsidR="0039665D">
        <w:t xml:space="preserve">in </w:t>
      </w:r>
      <w:r w:rsidRPr="004A7DCD">
        <w:t>tertiary education</w:t>
      </w:r>
      <w:r w:rsidRPr="004A7DCD" w:rsidR="0039665D">
        <w:t>,</w:t>
      </w:r>
      <w:r w:rsidRPr="004A7DCD">
        <w:t xml:space="preserve"> </w:t>
      </w:r>
      <w:r w:rsidRPr="004A7DCD" w:rsidR="0039665D">
        <w:t xml:space="preserve">could </w:t>
      </w:r>
      <w:r w:rsidRPr="004A7DCD">
        <w:t>potential</w:t>
      </w:r>
      <w:r w:rsidRPr="004A7DCD" w:rsidR="0039665D">
        <w:t>ly</w:t>
      </w:r>
      <w:r w:rsidRPr="004A7DCD">
        <w:t xml:space="preserve"> lead to brain gain and regain through attract</w:t>
      </w:r>
      <w:r w:rsidRPr="004A7DCD" w:rsidR="0039665D">
        <w:t>ing</w:t>
      </w:r>
      <w:r w:rsidRPr="004A7DCD">
        <w:t xml:space="preserve"> and </w:t>
      </w:r>
      <w:r w:rsidRPr="004A7DCD" w:rsidR="009F3CFA">
        <w:t>stimulating</w:t>
      </w:r>
      <w:r w:rsidRPr="004A7DCD" w:rsidR="0039665D">
        <w:t xml:space="preserve"> </w:t>
      </w:r>
      <w:r w:rsidRPr="004A7DCD">
        <w:t>talented individuals;</w:t>
      </w:r>
    </w:p>
    <w:p w:rsidRPr="004A7DCD" w:rsidR="00537DC6" w:rsidP="00537DC6" w:rsidRDefault="00537DC6" w14:paraId="48DB8CD4" w14:textId="77777777"/>
    <w:p w:rsidRPr="004A7DCD" w:rsidR="00537DC6" w:rsidP="00537DC6" w:rsidRDefault="00537DC6" w14:paraId="29B67A7B" w14:textId="2D84DE33">
      <w:pPr>
        <w:pStyle w:val="Heading1"/>
        <w:ind w:left="567" w:hanging="567"/>
      </w:pPr>
      <w:r w:rsidRPr="004A7DCD">
        <w:t xml:space="preserve">notes that brain drain and </w:t>
      </w:r>
      <w:r w:rsidRPr="004A7DCD" w:rsidR="0039665D">
        <w:t xml:space="preserve">related </w:t>
      </w:r>
      <w:r w:rsidRPr="004A7DCD">
        <w:t xml:space="preserve">phenomena need to be understood and assessed in the EU in the context of multilevel governance (MLG). Whether the characteristics of MLG will represent a barrier or an opportunity in this policy field will </w:t>
      </w:r>
      <w:r w:rsidRPr="004A7DCD" w:rsidR="00E438F6">
        <w:t xml:space="preserve">very much </w:t>
      </w:r>
      <w:r w:rsidRPr="004A7DCD">
        <w:t>depend on how the EU and its institutions act as facilitators and coordinators of policy-making and policy dissemination;</w:t>
      </w:r>
    </w:p>
    <w:p w:rsidRPr="004A7DCD" w:rsidR="00537DC6" w:rsidP="00537DC6" w:rsidRDefault="00537DC6" w14:paraId="588595E0" w14:textId="77777777"/>
    <w:p w:rsidRPr="004A7DCD" w:rsidR="00537DC6" w:rsidP="00537DC6" w:rsidRDefault="0039665D" w14:paraId="17D3A05F" w14:textId="3BA4E3BD">
      <w:pPr>
        <w:pStyle w:val="Heading1"/>
        <w:ind w:left="567" w:hanging="567"/>
      </w:pPr>
      <w:r w:rsidRPr="004A7DCD">
        <w:t xml:space="preserve">points out </w:t>
      </w:r>
      <w:r w:rsidRPr="004A7DCD" w:rsidR="00537DC6">
        <w:t xml:space="preserve">that though often perceived as a national or supranational policy problem, due to its broad and severe effects, brain drain can be addressed successfully at the subnational level. Local and regional public authorities play a crucial role </w:t>
      </w:r>
      <w:r w:rsidRPr="004A7DCD">
        <w:t>here</w:t>
      </w:r>
      <w:r w:rsidRPr="004A7DCD" w:rsidR="00537DC6">
        <w:t xml:space="preserve">, since local communities are the ones that are directly affected by the consequences of brain drain: the loss of </w:t>
      </w:r>
      <w:r w:rsidRPr="004A7DCD" w:rsidR="00C04E99">
        <w:t xml:space="preserve">a young </w:t>
      </w:r>
      <w:r w:rsidRPr="004A7DCD" w:rsidR="00537DC6">
        <w:t>an</w:t>
      </w:r>
      <w:r w:rsidRPr="004A7DCD" w:rsidR="00C04E99">
        <w:t>d</w:t>
      </w:r>
      <w:r w:rsidRPr="004A7DCD" w:rsidR="00537DC6">
        <w:t xml:space="preserve"> educated workforce is a huge </w:t>
      </w:r>
      <w:r w:rsidRPr="004A7DCD" w:rsidR="00C04E99">
        <w:t xml:space="preserve">challenge </w:t>
      </w:r>
      <w:r w:rsidRPr="004A7DCD" w:rsidR="00537DC6">
        <w:t>for local communities throughout the Union;</w:t>
      </w:r>
    </w:p>
    <w:p w:rsidRPr="004A7DCD" w:rsidR="00537DC6" w:rsidP="00537DC6" w:rsidRDefault="00537DC6" w14:paraId="2CBC28DD" w14:textId="77777777"/>
    <w:p w:rsidRPr="004A7DCD" w:rsidR="00537DC6" w:rsidP="00537DC6" w:rsidRDefault="008B1D8E" w14:paraId="497883A5" w14:textId="5B1A556E">
      <w:pPr>
        <w:pStyle w:val="Heading1"/>
        <w:ind w:left="567" w:hanging="567"/>
      </w:pPr>
      <w:r w:rsidRPr="004A7DCD">
        <w:t>observes</w:t>
      </w:r>
      <w:r w:rsidRPr="004A7DCD" w:rsidR="003613F1">
        <w:t xml:space="preserve"> </w:t>
      </w:r>
      <w:r w:rsidRPr="004A7DCD" w:rsidR="00537DC6">
        <w:t xml:space="preserve">that local authorities in the Member States represent the best level at which policies on brain drain can be drafted and implemented. </w:t>
      </w:r>
      <w:r w:rsidRPr="002115C0" w:rsidR="00537DC6">
        <w:t>Local communities are systems with relatively clear boundaries, allowing easier analysis of the problem</w:t>
      </w:r>
      <w:r w:rsidRPr="00473A4A" w:rsidR="00C04E99">
        <w:rPr>
          <w:rFonts w:eastAsiaTheme="minorEastAsia"/>
        </w:rPr>
        <w:t xml:space="preserve"> </w:t>
      </w:r>
      <w:r w:rsidRPr="00473A4A" w:rsidR="00C04E99">
        <w:t>and tailor-made solutions</w:t>
      </w:r>
      <w:r w:rsidRPr="002115C0" w:rsidR="00537DC6">
        <w:t>.</w:t>
      </w:r>
      <w:r w:rsidRPr="004A7DCD" w:rsidR="00537DC6">
        <w:t xml:space="preserve"> In addition, local authorities can more easily monitor and evaluate the success of policies at local level;</w:t>
      </w:r>
    </w:p>
    <w:p w:rsidRPr="004A7DCD" w:rsidR="00537DC6" w:rsidP="00537DC6" w:rsidRDefault="00537DC6" w14:paraId="2F5F3738" w14:textId="77777777"/>
    <w:p w:rsidRPr="004A7DCD" w:rsidR="003A043C" w:rsidP="00537DC6" w:rsidRDefault="00EB34FA" w14:paraId="72D636DB" w14:textId="1C4C3E38">
      <w:pPr>
        <w:pStyle w:val="Heading1"/>
        <w:ind w:left="567" w:hanging="567"/>
      </w:pPr>
      <w:r w:rsidRPr="004A7DCD">
        <w:t xml:space="preserve">notes </w:t>
      </w:r>
      <w:r w:rsidRPr="004A7DCD" w:rsidR="00537DC6">
        <w:t>that</w:t>
      </w:r>
      <w:r w:rsidRPr="004A7DCD" w:rsidR="00C04E99">
        <w:t xml:space="preserve"> there</w:t>
      </w:r>
      <w:r w:rsidRPr="004A7DCD" w:rsidR="00537DC6">
        <w:t xml:space="preserve"> </w:t>
      </w:r>
      <w:r w:rsidRPr="004A7DCD" w:rsidR="008B1D8E">
        <w:t xml:space="preserve">is much to be gained </w:t>
      </w:r>
      <w:r w:rsidRPr="004A7DCD" w:rsidR="00537DC6">
        <w:t xml:space="preserve">from </w:t>
      </w:r>
      <w:r w:rsidRPr="004A7DCD" w:rsidR="008B1D8E">
        <w:t xml:space="preserve">drawing on </w:t>
      </w:r>
      <w:r w:rsidRPr="004A7DCD" w:rsidR="00537DC6">
        <w:t xml:space="preserve">the experience and capacity of these subnational administrations when </w:t>
      </w:r>
      <w:r w:rsidRPr="004A7DCD" w:rsidR="008B1D8E">
        <w:t xml:space="preserve">framing </w:t>
      </w:r>
      <w:r w:rsidRPr="004A7DCD" w:rsidR="00537DC6">
        <w:t>policies at Union level;</w:t>
      </w:r>
    </w:p>
    <w:p w:rsidRPr="004A7DCD" w:rsidR="000C5B50" w:rsidP="000C5B50" w:rsidRDefault="000C5B50" w14:paraId="1F0375C2" w14:textId="77777777"/>
    <w:p w:rsidRPr="004A7DCD" w:rsidR="00537DC6" w:rsidP="000C5B50" w:rsidRDefault="00EB34FA" w14:paraId="62C9533D" w14:textId="3214AADB">
      <w:pPr>
        <w:pStyle w:val="Heading1"/>
        <w:ind w:left="567" w:hanging="567"/>
      </w:pPr>
      <w:r w:rsidRPr="004A7DCD">
        <w:t xml:space="preserve">believes </w:t>
      </w:r>
      <w:r w:rsidRPr="004A7DCD" w:rsidR="000C5B50">
        <w:t xml:space="preserve">that the direct experience of local authorities in addressing brain drain </w:t>
      </w:r>
      <w:r w:rsidRPr="004A7DCD">
        <w:t xml:space="preserve">could </w:t>
      </w:r>
      <w:r w:rsidRPr="004A7DCD" w:rsidR="000C5B50">
        <w:t xml:space="preserve">provide success stories and best practices that </w:t>
      </w:r>
      <w:r w:rsidRPr="004A7DCD">
        <w:t>w</w:t>
      </w:r>
      <w:r w:rsidRPr="004A7DCD" w:rsidR="000C5B50">
        <w:t xml:space="preserve">ould be helpful in developing a coherent policy at EU level. Local and regional authorities can go beyond a general and abstract definition of policy issues and provide concrete and effective solutions. </w:t>
      </w:r>
      <w:r w:rsidRPr="004A7DCD">
        <w:t xml:space="preserve">They </w:t>
      </w:r>
      <w:r w:rsidRPr="004A7DCD" w:rsidR="000C5B50">
        <w:t xml:space="preserve">need to better understand the efforts and initiatives </w:t>
      </w:r>
      <w:r w:rsidRPr="004A7DCD">
        <w:t xml:space="preserve">designed </w:t>
      </w:r>
      <w:r w:rsidRPr="004A7DCD" w:rsidR="000C5B50">
        <w:t xml:space="preserve">to </w:t>
      </w:r>
      <w:r w:rsidRPr="004A7DCD">
        <w:t xml:space="preserve">address </w:t>
      </w:r>
      <w:r w:rsidRPr="004A7DCD" w:rsidR="000C5B50">
        <w:t>brain drain beyond the administrative borders of the communities they represent and to engage in regional and interregional cooperation;</w:t>
      </w:r>
    </w:p>
    <w:p w:rsidRPr="004A7DCD" w:rsidR="000C5B50" w:rsidP="000C5B50" w:rsidRDefault="000C5B50" w14:paraId="608B3B1A" w14:textId="77777777"/>
    <w:p w:rsidRPr="004A7DCD" w:rsidR="000C5B50" w:rsidP="000C5B50" w:rsidRDefault="00EB34FA" w14:paraId="58673C85" w14:textId="57DA5481">
      <w:pPr>
        <w:pStyle w:val="Heading1"/>
        <w:ind w:left="567" w:hanging="567"/>
      </w:pPr>
      <w:r w:rsidRPr="004A7DCD">
        <w:t>points out</w:t>
      </w:r>
      <w:r w:rsidRPr="004A7DCD" w:rsidR="000C5B50">
        <w:t xml:space="preserve"> that the problems </w:t>
      </w:r>
      <w:r w:rsidRPr="004A7DCD">
        <w:t xml:space="preserve">confronted by </w:t>
      </w:r>
      <w:r w:rsidRPr="004A7DCD" w:rsidR="000C5B50">
        <w:t>sending and receiving regions are different and therefore need to be addressed</w:t>
      </w:r>
      <w:r w:rsidRPr="004A7DCD">
        <w:t xml:space="preserve"> </w:t>
      </w:r>
      <w:r w:rsidRPr="004A7DCD" w:rsidR="00C04E99">
        <w:t>accordingly</w:t>
      </w:r>
      <w:r w:rsidRPr="004A7DCD" w:rsidR="000C5B50">
        <w:t>. This distinction is important because policies at supranational level should aim to facilitate win-win solutions, or at least to limit situations in which both sending and receiving regions lose (brain waste)</w:t>
      </w:r>
      <w:r w:rsidRPr="004A7DCD">
        <w:t>;</w:t>
      </w:r>
    </w:p>
    <w:p w:rsidRPr="004A7DCD" w:rsidR="000C5B50" w:rsidP="000C5B50" w:rsidRDefault="000C5B50" w14:paraId="0B899F9F" w14:textId="77777777"/>
    <w:p w:rsidRPr="004A7DCD" w:rsidR="000C5B50" w:rsidP="000C5B50" w:rsidRDefault="000C5B50" w14:paraId="39BD606B" w14:textId="7309E700">
      <w:pPr>
        <w:pStyle w:val="Heading1"/>
        <w:ind w:left="567" w:hanging="567"/>
      </w:pPr>
      <w:r w:rsidRPr="004A7DCD">
        <w:t xml:space="preserve">draws attention to the risk </w:t>
      </w:r>
      <w:r w:rsidRPr="004A7DCD" w:rsidR="00542737">
        <w:t xml:space="preserve">brain drain </w:t>
      </w:r>
      <w:r w:rsidRPr="004A7DCD" w:rsidR="00EB34FA">
        <w:t xml:space="preserve">poses </w:t>
      </w:r>
      <w:r w:rsidRPr="004A7DCD">
        <w:t xml:space="preserve">to the </w:t>
      </w:r>
      <w:r w:rsidRPr="004A7DCD" w:rsidR="00CE6528">
        <w:t>long-term</w:t>
      </w:r>
      <w:r w:rsidRPr="004A7DCD">
        <w:t xml:space="preserve"> sustainability of the European project. Sending regions are in a double</w:t>
      </w:r>
      <w:r w:rsidRPr="004A7DCD" w:rsidR="001C0BC5">
        <w:t xml:space="preserve"> </w:t>
      </w:r>
      <w:r w:rsidRPr="004A7DCD">
        <w:t>bind: they need convergence (</w:t>
      </w:r>
      <w:r w:rsidRPr="004A7DCD" w:rsidR="00897001">
        <w:t xml:space="preserve">to </w:t>
      </w:r>
      <w:r w:rsidRPr="004A7DCD" w:rsidR="00EB34FA">
        <w:t>clos</w:t>
      </w:r>
      <w:r w:rsidRPr="004A7DCD" w:rsidR="00897001">
        <w:t>e</w:t>
      </w:r>
      <w:r w:rsidRPr="004A7DCD" w:rsidR="00EB34FA">
        <w:t xml:space="preserve"> the gap with </w:t>
      </w:r>
      <w:r w:rsidRPr="004A7DCD">
        <w:t>receiving regions)</w:t>
      </w:r>
      <w:r w:rsidRPr="004A7DCD" w:rsidR="00F64AD3">
        <w:t>,</w:t>
      </w:r>
      <w:r w:rsidRPr="004A7DCD">
        <w:t xml:space="preserve"> </w:t>
      </w:r>
      <w:r w:rsidRPr="004A7DCD" w:rsidR="00F64AD3">
        <w:t xml:space="preserve">but </w:t>
      </w:r>
      <w:r w:rsidRPr="004A7DCD">
        <w:t xml:space="preserve">are losing their skilled workforce. </w:t>
      </w:r>
      <w:r w:rsidRPr="004A7DCD" w:rsidR="000A3045">
        <w:t xml:space="preserve">In the long term, any change or transition to a sustainable and competitive economic model based on </w:t>
      </w:r>
      <w:r w:rsidRPr="004A7DCD" w:rsidR="00D763B6">
        <w:t xml:space="preserve">the </w:t>
      </w:r>
      <w:r w:rsidRPr="004A7DCD" w:rsidR="000A3045">
        <w:t>knowledge economy and high added</w:t>
      </w:r>
      <w:r w:rsidRPr="004A7DCD" w:rsidR="00D763B6">
        <w:t>-</w:t>
      </w:r>
      <w:r w:rsidRPr="004A7DCD" w:rsidR="000A3045">
        <w:t xml:space="preserve">value products </w:t>
      </w:r>
      <w:r w:rsidRPr="004A7DCD" w:rsidR="00F64AD3">
        <w:t xml:space="preserve">would </w:t>
      </w:r>
      <w:r w:rsidRPr="004A7DCD" w:rsidR="000A3045">
        <w:t xml:space="preserve">seem very difficult </w:t>
      </w:r>
      <w:r w:rsidRPr="004A7DCD" w:rsidR="00F64AD3">
        <w:t xml:space="preserve">to achieve </w:t>
      </w:r>
      <w:r w:rsidRPr="004A7DCD" w:rsidR="000A3045">
        <w:t xml:space="preserve">in a scenario </w:t>
      </w:r>
      <w:r w:rsidRPr="004A7DCD" w:rsidR="00F64AD3">
        <w:t xml:space="preserve">where </w:t>
      </w:r>
      <w:r w:rsidRPr="004A7DCD" w:rsidR="000A3045">
        <w:t>disparities between send</w:t>
      </w:r>
      <w:r w:rsidRPr="004A7DCD" w:rsidR="00542737">
        <w:t>ing</w:t>
      </w:r>
      <w:r w:rsidRPr="004A7DCD" w:rsidR="000A3045">
        <w:t xml:space="preserve"> and receiving regions</w:t>
      </w:r>
      <w:r w:rsidRPr="004A7DCD" w:rsidR="00F64AD3">
        <w:t xml:space="preserve"> are widening</w:t>
      </w:r>
      <w:r w:rsidRPr="004A7DCD" w:rsidR="000A3045">
        <w:t>.</w:t>
      </w:r>
      <w:r w:rsidRPr="004A7DCD">
        <w:t xml:space="preserve"> Left unaddressed</w:t>
      </w:r>
      <w:r w:rsidRPr="004A7DCD" w:rsidR="00F64AD3">
        <w:t>,</w:t>
      </w:r>
      <w:r w:rsidRPr="004A7DCD">
        <w:t xml:space="preserve"> disparities </w:t>
      </w:r>
      <w:r w:rsidRPr="004A7DCD" w:rsidR="00F64AD3">
        <w:t xml:space="preserve">will increase further </w:t>
      </w:r>
      <w:r w:rsidRPr="004A7DCD">
        <w:t xml:space="preserve">and a vicious </w:t>
      </w:r>
      <w:r w:rsidRPr="004A7DCD" w:rsidR="00F64AD3">
        <w:t xml:space="preserve">circle </w:t>
      </w:r>
      <w:r w:rsidRPr="004A7DCD">
        <w:t xml:space="preserve">of </w:t>
      </w:r>
      <w:r w:rsidRPr="004A7DCD" w:rsidR="00EB34FA">
        <w:t>"</w:t>
      </w:r>
      <w:r w:rsidRPr="004A7DCD">
        <w:t>disintegration</w:t>
      </w:r>
      <w:r w:rsidRPr="004A7DCD" w:rsidR="00EB34FA">
        <w:t>"</w:t>
      </w:r>
      <w:r w:rsidRPr="004A7DCD" w:rsidR="00F64AD3">
        <w:t xml:space="preserve"> will ensue</w:t>
      </w:r>
      <w:r w:rsidRPr="004A7DCD">
        <w:t xml:space="preserve">. </w:t>
      </w:r>
      <w:r w:rsidRPr="004A7DCD" w:rsidR="00F64AD3">
        <w:t>According to the Global Competitiveness Index,</w:t>
      </w:r>
      <w:r w:rsidRPr="004A7DCD" w:rsidDel="00F64AD3" w:rsidR="00F64AD3">
        <w:t xml:space="preserve"> </w:t>
      </w:r>
      <w:r w:rsidRPr="004A7DCD" w:rsidR="00F64AD3">
        <w:t>the e</w:t>
      </w:r>
      <w:r w:rsidRPr="004A7DCD">
        <w:t xml:space="preserve">astern and </w:t>
      </w:r>
      <w:r w:rsidRPr="004A7DCD" w:rsidR="00F64AD3">
        <w:t>s</w:t>
      </w:r>
      <w:r w:rsidRPr="004A7DCD">
        <w:t xml:space="preserve">outhern EU </w:t>
      </w:r>
      <w:r w:rsidRPr="004A7DCD" w:rsidR="00F64AD3">
        <w:t>M</w:t>
      </w:r>
      <w:r w:rsidRPr="004A7DCD">
        <w:t xml:space="preserve">ember </w:t>
      </w:r>
      <w:r w:rsidRPr="004A7DCD" w:rsidR="00F64AD3">
        <w:t>S</w:t>
      </w:r>
      <w:r w:rsidRPr="004A7DCD">
        <w:t xml:space="preserve">tates are </w:t>
      </w:r>
      <w:r w:rsidRPr="004A7DCD" w:rsidR="00F64AD3">
        <w:t xml:space="preserve">currently </w:t>
      </w:r>
      <w:r w:rsidRPr="004A7DCD">
        <w:t>among the world's countries least able to retain their talent;</w:t>
      </w:r>
    </w:p>
    <w:p w:rsidRPr="004A7DCD" w:rsidR="000C5B50" w:rsidP="000C5B50" w:rsidRDefault="000C5B50" w14:paraId="3128B18E" w14:textId="77777777"/>
    <w:p w:rsidRPr="004A7DCD" w:rsidR="000C5B50" w:rsidP="000C5B50" w:rsidRDefault="00E3562D" w14:paraId="01304F69" w14:textId="77777777">
      <w:pPr>
        <w:pStyle w:val="Heading1"/>
        <w:ind w:left="567" w:hanging="567"/>
      </w:pPr>
      <w:r w:rsidRPr="004A7DCD">
        <w:t xml:space="preserve">points out </w:t>
      </w:r>
      <w:r w:rsidRPr="004A7DCD" w:rsidR="000C5B50">
        <w:t xml:space="preserve">that although </w:t>
      </w:r>
      <w:r w:rsidRPr="004A7DCD">
        <w:t xml:space="preserve">the European </w:t>
      </w:r>
      <w:r w:rsidRPr="004A7DCD" w:rsidR="000C5B50">
        <w:t xml:space="preserve">institutions have put forward mechanisms to reduce disparities, </w:t>
      </w:r>
      <w:r w:rsidRPr="004A7DCD">
        <w:t xml:space="preserve">those </w:t>
      </w:r>
      <w:r w:rsidRPr="004A7DCD" w:rsidR="00597E2D">
        <w:t>approaches</w:t>
      </w:r>
      <w:r w:rsidRPr="004A7DCD">
        <w:t xml:space="preserve"> </w:t>
      </w:r>
      <w:r w:rsidRPr="004A7DCD" w:rsidR="000C5B50">
        <w:t xml:space="preserve">have been </w:t>
      </w:r>
      <w:r w:rsidRPr="004A7DCD">
        <w:t xml:space="preserve">only </w:t>
      </w:r>
      <w:r w:rsidRPr="004A7DCD" w:rsidR="000C5B50">
        <w:t xml:space="preserve">partially effective. </w:t>
      </w:r>
      <w:r w:rsidRPr="004A7DCD" w:rsidR="00597E2D">
        <w:t xml:space="preserve">Given that </w:t>
      </w:r>
      <w:r w:rsidRPr="004A7DCD" w:rsidR="000C5B50">
        <w:t xml:space="preserve">brain drain </w:t>
      </w:r>
      <w:r w:rsidRPr="004A7DCD" w:rsidR="00597E2D">
        <w:t xml:space="preserve">is increasing, and given </w:t>
      </w:r>
      <w:r w:rsidRPr="004A7DCD" w:rsidR="000C5B50">
        <w:t>its geographic</w:t>
      </w:r>
      <w:r w:rsidRPr="004A7DCD" w:rsidR="00597E2D">
        <w:t>al</w:t>
      </w:r>
      <w:r w:rsidRPr="004A7DCD" w:rsidR="000C5B50">
        <w:t xml:space="preserve"> and economic </w:t>
      </w:r>
      <w:r w:rsidRPr="004A7DCD" w:rsidR="00597E2D">
        <w:t xml:space="preserve">dimensions, </w:t>
      </w:r>
      <w:r w:rsidRPr="004A7DCD" w:rsidR="000C5B50">
        <w:t xml:space="preserve">a different type of initiative or effort </w:t>
      </w:r>
      <w:r w:rsidRPr="004A7DCD" w:rsidR="00597E2D">
        <w:t>is needed</w:t>
      </w:r>
      <w:r w:rsidRPr="004A7DCD" w:rsidR="00241348">
        <w:t>, one</w:t>
      </w:r>
      <w:r w:rsidRPr="004A7DCD" w:rsidR="00597E2D">
        <w:t xml:space="preserve"> </w:t>
      </w:r>
      <w:r w:rsidRPr="004A7DCD" w:rsidR="000C5B50">
        <w:t xml:space="preserve">that </w:t>
      </w:r>
      <w:r w:rsidRPr="004A7DCD" w:rsidR="009A0013">
        <w:t xml:space="preserve">would </w:t>
      </w:r>
      <w:r w:rsidRPr="004A7DCD" w:rsidR="000C5B50">
        <w:t xml:space="preserve">directly </w:t>
      </w:r>
      <w:r w:rsidRPr="004A7DCD" w:rsidR="009A0013">
        <w:t xml:space="preserve">address </w:t>
      </w:r>
      <w:r w:rsidRPr="004A7DCD" w:rsidR="000C5B50">
        <w:t xml:space="preserve">the push factors </w:t>
      </w:r>
      <w:r w:rsidRPr="004A7DCD" w:rsidR="009A0013">
        <w:t xml:space="preserve">resulting from </w:t>
      </w:r>
      <w:r w:rsidRPr="004A7DCD" w:rsidR="000C5B50">
        <w:t xml:space="preserve">the specific growth </w:t>
      </w:r>
      <w:r w:rsidRPr="004A7DCD" w:rsidR="00241348">
        <w:t xml:space="preserve">trajectories </w:t>
      </w:r>
      <w:r w:rsidRPr="004A7DCD" w:rsidR="000C5B50">
        <w:t xml:space="preserve">of sending regions </w:t>
      </w:r>
      <w:r w:rsidRPr="004A7DCD" w:rsidR="00241348">
        <w:t xml:space="preserve">that </w:t>
      </w:r>
      <w:r w:rsidRPr="004A7DCD" w:rsidR="00AF3A42">
        <w:t>make</w:t>
      </w:r>
      <w:r w:rsidRPr="004A7DCD" w:rsidR="00241348">
        <w:t xml:space="preserve"> those regions </w:t>
      </w:r>
      <w:r w:rsidRPr="004A7DCD" w:rsidR="00AF3A42">
        <w:t xml:space="preserve">insufficiently </w:t>
      </w:r>
      <w:r w:rsidRPr="004A7DCD" w:rsidR="00241348">
        <w:t xml:space="preserve">attractive </w:t>
      </w:r>
      <w:r w:rsidRPr="004A7DCD" w:rsidR="009A0013">
        <w:t xml:space="preserve">to </w:t>
      </w:r>
      <w:r w:rsidRPr="004A7DCD" w:rsidR="000C5B50">
        <w:t>the highly educated part of the workforce;</w:t>
      </w:r>
    </w:p>
    <w:p w:rsidRPr="004A7DCD" w:rsidR="000C5B50" w:rsidP="000C5B50" w:rsidRDefault="000C5B50" w14:paraId="356312D0" w14:textId="77777777"/>
    <w:p w:rsidRPr="004A7DCD" w:rsidR="000C5B50" w:rsidP="000C5B50" w:rsidRDefault="009A0013" w14:paraId="34D57AB9" w14:textId="19AC391E">
      <w:pPr>
        <w:pStyle w:val="Heading1"/>
        <w:ind w:left="567" w:hanging="567"/>
      </w:pPr>
      <w:r w:rsidRPr="004A7DCD">
        <w:t xml:space="preserve">notes </w:t>
      </w:r>
      <w:r w:rsidRPr="004A7DCD" w:rsidR="000C5B50">
        <w:t xml:space="preserve">that </w:t>
      </w:r>
      <w:r w:rsidRPr="004A7DCD">
        <w:t>a</w:t>
      </w:r>
      <w:r w:rsidRPr="004A7DCD" w:rsidR="0076577D">
        <w:t xml:space="preserve">n </w:t>
      </w:r>
      <w:r w:rsidRPr="004A7DCD" w:rsidR="000C5B50">
        <w:t>education</w:t>
      </w:r>
      <w:r w:rsidRPr="004A7DCD" w:rsidR="0076577D">
        <w:rPr>
          <w:bCs/>
          <w:iCs/>
        </w:rPr>
        <w:t>–labour market gap</w:t>
      </w:r>
      <w:r w:rsidRPr="004A7DCD" w:rsidR="008D2EFA">
        <w:t xml:space="preserve"> </w:t>
      </w:r>
      <w:r w:rsidRPr="004A7DCD" w:rsidR="000C5B50">
        <w:t xml:space="preserve">is one of the problems associated with brain drain. Education is clearly an area where improvements can help to mitigate the negative effects of brain drain. Local and regional authorities should pay </w:t>
      </w:r>
      <w:r w:rsidRPr="004A7DCD">
        <w:t xml:space="preserve">more </w:t>
      </w:r>
      <w:r w:rsidRPr="004A7DCD" w:rsidR="000C5B50">
        <w:t>attention to this, in cooperation with national and European authorities.</w:t>
      </w:r>
      <w:r w:rsidRPr="004A7DCD" w:rsidR="00F7144E">
        <w:t xml:space="preserve"> </w:t>
      </w:r>
      <w:r w:rsidRPr="004A7DCD" w:rsidR="000C5B50">
        <w:t>Furthermore, education systems need to factor in the variable dynamics of the labour market and its increasing diversity</w:t>
      </w:r>
      <w:r w:rsidRPr="004A7DCD" w:rsidR="0076577D">
        <w:t xml:space="preserve"> </w:t>
      </w:r>
      <w:r w:rsidRPr="004A7DCD" w:rsidR="0076577D">
        <w:rPr>
          <w:bCs/>
          <w:iCs/>
        </w:rPr>
        <w:t>in order to allow for a return from investments in a country's or region's human capital, which is lost with brain drain</w:t>
      </w:r>
      <w:r w:rsidRPr="004A7DCD" w:rsidR="000C5B50">
        <w:t>;</w:t>
      </w:r>
    </w:p>
    <w:p w:rsidRPr="004A7DCD" w:rsidR="000C5B50" w:rsidP="000C5B50" w:rsidRDefault="000C5B50" w14:paraId="7CD1E33F" w14:textId="77777777"/>
    <w:p w:rsidRPr="004A7DCD" w:rsidR="000C5B50" w:rsidP="000C5B50" w:rsidRDefault="003C399A" w14:paraId="1B07D223" w14:textId="4F908BDF">
      <w:pPr>
        <w:pStyle w:val="Heading1"/>
        <w:ind w:left="567" w:hanging="567"/>
      </w:pPr>
      <w:r w:rsidRPr="004A7DCD">
        <w:t>draws atte</w:t>
      </w:r>
      <w:r w:rsidRPr="004A7DCD" w:rsidR="004248ED">
        <w:t>ntion</w:t>
      </w:r>
      <w:r w:rsidRPr="004A7DCD">
        <w:t xml:space="preserve"> to </w:t>
      </w:r>
      <w:r w:rsidRPr="004A7DCD" w:rsidR="000C5B50">
        <w:t xml:space="preserve">a phenomenon </w:t>
      </w:r>
      <w:r w:rsidRPr="004A7DCD">
        <w:t xml:space="preserve">that </w:t>
      </w:r>
      <w:r w:rsidRPr="004A7DCD" w:rsidR="000C5B50">
        <w:t>needs to be closely monitored</w:t>
      </w:r>
      <w:r w:rsidRPr="004A7DCD">
        <w:t>,</w:t>
      </w:r>
      <w:r w:rsidRPr="004A7DCD" w:rsidR="000C5B50">
        <w:t xml:space="preserve"> </w:t>
      </w:r>
      <w:r w:rsidRPr="004A7DCD">
        <w:t xml:space="preserve">namely the issue </w:t>
      </w:r>
      <w:r w:rsidRPr="004A7DCD" w:rsidR="000C5B50">
        <w:t xml:space="preserve">of children </w:t>
      </w:r>
      <w:r w:rsidRPr="004A7DCD" w:rsidR="00AF3A42">
        <w:t xml:space="preserve">left </w:t>
      </w:r>
      <w:r w:rsidRPr="004A7DCD" w:rsidR="000C5B50">
        <w:t xml:space="preserve">at home </w:t>
      </w:r>
      <w:r w:rsidRPr="004A7DCD" w:rsidR="00AF3A42">
        <w:t xml:space="preserve">by </w:t>
      </w:r>
      <w:r w:rsidRPr="004A7DCD" w:rsidR="000C5B50">
        <w:t xml:space="preserve">parents </w:t>
      </w:r>
      <w:r w:rsidRPr="004A7DCD" w:rsidR="00AF3A42">
        <w:t>seeking better work abroad</w:t>
      </w:r>
      <w:r w:rsidRPr="004A7DCD" w:rsidR="000C5B50">
        <w:t xml:space="preserve">. This </w:t>
      </w:r>
      <w:r w:rsidRPr="004A7DCD">
        <w:t xml:space="preserve">is </w:t>
      </w:r>
      <w:r w:rsidRPr="004A7DCD" w:rsidR="000C5B50">
        <w:t>a direct effect of brain drain and has long</w:t>
      </w:r>
      <w:r w:rsidRPr="004A7DCD">
        <w:t>-</w:t>
      </w:r>
      <w:r w:rsidRPr="004A7DCD" w:rsidR="000C5B50">
        <w:t>term implications;</w:t>
      </w:r>
    </w:p>
    <w:p w:rsidRPr="004A7DCD" w:rsidR="000C5B50" w:rsidP="000C5B50" w:rsidRDefault="000C5B50" w14:paraId="16155213" w14:textId="77777777"/>
    <w:p w:rsidRPr="004A7DCD" w:rsidR="000C5B50" w:rsidP="000C5B50" w:rsidRDefault="000C5B50" w14:paraId="4AFA4FB6" w14:textId="4C7E20A3">
      <w:pPr>
        <w:pStyle w:val="Heading1"/>
        <w:ind w:left="567" w:hanging="567"/>
      </w:pPr>
      <w:r w:rsidRPr="002115C0">
        <w:t xml:space="preserve">highlights the importance of </w:t>
      </w:r>
      <w:r w:rsidRPr="002115C0" w:rsidR="003C399A">
        <w:t xml:space="preserve">the </w:t>
      </w:r>
      <w:r w:rsidRPr="002115C0">
        <w:t>Erasmus+</w:t>
      </w:r>
      <w:r w:rsidRPr="002115C0" w:rsidR="005E2651">
        <w:t>, ESF+</w:t>
      </w:r>
      <w:r w:rsidRPr="002115C0">
        <w:t xml:space="preserve"> and similar </w:t>
      </w:r>
      <w:r w:rsidRPr="002115C0" w:rsidR="003C399A">
        <w:t>programmes</w:t>
      </w:r>
      <w:r w:rsidRPr="002115C0" w:rsidR="00C661A1">
        <w:t xml:space="preserve"> </w:t>
      </w:r>
      <w:r w:rsidRPr="002115C0">
        <w:t>in creating academic and professional opportunities for talented individuals and opportunities for international networking and partnerships</w:t>
      </w:r>
      <w:r w:rsidRPr="00473A4A" w:rsidR="005E2651">
        <w:rPr>
          <w:rFonts w:eastAsiaTheme="minorEastAsia"/>
        </w:rPr>
        <w:t xml:space="preserve"> </w:t>
      </w:r>
      <w:r w:rsidRPr="00473A4A" w:rsidR="005E2651">
        <w:t>throughout Europe and not just at certain regional hubs</w:t>
      </w:r>
      <w:r w:rsidRPr="002115C0" w:rsidR="005E2651">
        <w:t xml:space="preserve">, </w:t>
      </w:r>
      <w:r w:rsidRPr="00473A4A" w:rsidR="000F2DA8">
        <w:t>as well as supporting the implementation of the European Pillar of Social Rights into practice</w:t>
      </w:r>
      <w:r w:rsidRPr="002115C0">
        <w:t>.</w:t>
      </w:r>
      <w:r w:rsidRPr="004A7DCD">
        <w:t> The new Commission</w:t>
      </w:r>
      <w:r w:rsidRPr="004A7DCD" w:rsidR="00C661A1">
        <w:t>'</w:t>
      </w:r>
      <w:r w:rsidRPr="004A7DCD">
        <w:t>s support for increasing the budget</w:t>
      </w:r>
      <w:r w:rsidRPr="004A7DCD" w:rsidR="00622F1C">
        <w:t xml:space="preserve"> of the Erasmus+ program</w:t>
      </w:r>
      <w:r w:rsidRPr="004A7DCD" w:rsidR="00C661A1">
        <w:t>me</w:t>
      </w:r>
      <w:r w:rsidRPr="004A7DCD" w:rsidR="00622F1C">
        <w:t xml:space="preserve"> is a step in the right direction;</w:t>
      </w:r>
      <w:r w:rsidRPr="004A7DCD">
        <w:t xml:space="preserve"> </w:t>
      </w:r>
    </w:p>
    <w:p w:rsidRPr="004A7DCD" w:rsidR="000C5B50" w:rsidP="00537DC6" w:rsidRDefault="000C5B50" w14:paraId="070C2BC5" w14:textId="77777777"/>
    <w:p w:rsidRPr="004A7DCD" w:rsidR="000C5B50" w:rsidP="000C5B50" w:rsidRDefault="00C661A1" w14:paraId="78F7D172" w14:textId="2AA89D21">
      <w:pPr>
        <w:pStyle w:val="Heading1"/>
        <w:ind w:left="567" w:hanging="567"/>
      </w:pPr>
      <w:r w:rsidRPr="004A7DCD">
        <w:t xml:space="preserve">believes </w:t>
      </w:r>
      <w:r w:rsidRPr="004A7DCD" w:rsidR="000C5B50">
        <w:t xml:space="preserve">that addressing </w:t>
      </w:r>
      <w:r w:rsidRPr="004A7DCD" w:rsidR="00AF3A42">
        <w:t xml:space="preserve">the </w:t>
      </w:r>
      <w:r w:rsidRPr="004A7DCD" w:rsidR="000C5B50">
        <w:t xml:space="preserve">brain drain issue requires strong leadership and coordination of various efforts across national jurisdictions. The key point is to find specific ways </w:t>
      </w:r>
      <w:r w:rsidRPr="004A7DCD">
        <w:t xml:space="preserve">of </w:t>
      </w:r>
      <w:r w:rsidRPr="004A7DCD" w:rsidR="000C5B50">
        <w:t>build</w:t>
      </w:r>
      <w:r w:rsidRPr="004A7DCD">
        <w:t>ing</w:t>
      </w:r>
      <w:r w:rsidRPr="004A7DCD" w:rsidR="000C5B50">
        <w:t xml:space="preserve"> cooperation networks, to counter populist political discourse</w:t>
      </w:r>
      <w:r w:rsidRPr="004A7DCD">
        <w:t>,</w:t>
      </w:r>
      <w:r w:rsidRPr="004A7DCD" w:rsidR="000C5B50">
        <w:t xml:space="preserve"> and to strengthen European integration. Further action at </w:t>
      </w:r>
      <w:r w:rsidRPr="004A7DCD">
        <w:t xml:space="preserve">Member </w:t>
      </w:r>
      <w:r w:rsidRPr="004A7DCD" w:rsidR="000C5B50">
        <w:t>State and European Union level should focus on coordination and facilitation/support for efforts at the subnational levels, building consensus about how brain drain should be</w:t>
      </w:r>
      <w:r w:rsidRPr="004A7DCD" w:rsidR="00E729D8">
        <w:t xml:space="preserve"> </w:t>
      </w:r>
      <w:r w:rsidRPr="004A7DCD" w:rsidR="00A63679">
        <w:t xml:space="preserve">analysed </w:t>
      </w:r>
      <w:r w:rsidRPr="004A7DCD" w:rsidR="000C5B50">
        <w:t>and addressed, so as to create a win-win situation for all stakeholders;</w:t>
      </w:r>
    </w:p>
    <w:p w:rsidRPr="004A7DCD" w:rsidR="000C5B50" w:rsidP="000C5B50" w:rsidRDefault="000C5B50" w14:paraId="562AFB0C" w14:textId="77777777"/>
    <w:p w:rsidRPr="004A7DCD" w:rsidR="000C5B50" w:rsidP="000C5B50" w:rsidRDefault="000C5B50" w14:paraId="49EDE648" w14:textId="77777777">
      <w:pPr>
        <w:pStyle w:val="Heading1"/>
        <w:ind w:left="567" w:hanging="567"/>
      </w:pPr>
      <w:r w:rsidRPr="004A7DCD">
        <w:t>stresses that a number of key strategic issues need to be identified with respect to brain drain, so that decision-makers can avoid unnecessary duplication in public policy efforts. These strategic issues must be framed in a way that ensures policy measures have a visible impact and that supports policies which translate into concrete action;</w:t>
      </w:r>
    </w:p>
    <w:p w:rsidRPr="004A7DCD" w:rsidR="000C5B50" w:rsidP="000C5B50" w:rsidRDefault="000C5B50" w14:paraId="46A839B6" w14:textId="77777777"/>
    <w:p w:rsidRPr="004A7DCD" w:rsidR="000C5B50" w:rsidP="000C5B50" w:rsidRDefault="000C5B50" w14:paraId="3EBAE7FD" w14:textId="5411C6C7">
      <w:pPr>
        <w:pStyle w:val="Heading1"/>
        <w:ind w:left="567" w:hanging="567"/>
      </w:pPr>
      <w:r w:rsidRPr="004A7DCD">
        <w:t>recommends that different types of response be identified and implemented for each subcomponent of the brain drain phenomenon – brain gain, brain waste, brain circulation and re-migration. Each of these areas calls for different, specific solutions. It is very important not to adopt a blanket approach to these subcomponents. Lack of tailored solutions may lead to broad and abstract statements/objectives which are hard to implement in real life;</w:t>
      </w:r>
    </w:p>
    <w:p w:rsidRPr="004A7DCD" w:rsidR="000C5B50" w:rsidP="000C5B50" w:rsidRDefault="000C5B50" w14:paraId="2362ABD4" w14:textId="77777777"/>
    <w:p w:rsidRPr="004A7DCD" w:rsidR="000C5B50" w:rsidP="000C5B50" w:rsidRDefault="00DA78B3" w14:paraId="1B66B278" w14:textId="1FB6EE57">
      <w:pPr>
        <w:pStyle w:val="Heading1"/>
        <w:ind w:left="567" w:hanging="567"/>
      </w:pPr>
      <w:r w:rsidRPr="004A7DCD">
        <w:t xml:space="preserve">appreciates </w:t>
      </w:r>
      <w:r w:rsidRPr="004A7DCD" w:rsidR="000C5B50">
        <w:t xml:space="preserve">that </w:t>
      </w:r>
      <w:r w:rsidRPr="004A7DCD" w:rsidR="008B5E54">
        <w:t xml:space="preserve">certain </w:t>
      </w:r>
      <w:r w:rsidRPr="004A7DCD" w:rsidR="000C5B50">
        <w:t xml:space="preserve">regions and cities </w:t>
      </w:r>
      <w:r w:rsidRPr="004A7DCD" w:rsidR="00A63679">
        <w:t xml:space="preserve">are </w:t>
      </w:r>
      <w:r w:rsidRPr="004A7DCD" w:rsidR="008B5E54">
        <w:t xml:space="preserve">already </w:t>
      </w:r>
      <w:r w:rsidRPr="004A7DCD" w:rsidR="000C5B50">
        <w:t>implement</w:t>
      </w:r>
      <w:r w:rsidRPr="004A7DCD" w:rsidR="00A63679">
        <w:t>ing</w:t>
      </w:r>
      <w:r w:rsidRPr="004A7DCD" w:rsidR="000C5B50">
        <w:t xml:space="preserve"> creative solutions for attracting and retaining talent. Policies range from </w:t>
      </w:r>
      <w:r w:rsidRPr="004A7DCD" w:rsidR="00897001">
        <w:t xml:space="preserve">supporting the relocation of </w:t>
      </w:r>
      <w:r w:rsidRPr="004A7DCD" w:rsidR="000C5B50">
        <w:t xml:space="preserve">talented individuals </w:t>
      </w:r>
      <w:r w:rsidRPr="004A7DCD" w:rsidR="00897001">
        <w:t xml:space="preserve">to </w:t>
      </w:r>
      <w:r w:rsidRPr="004A7DCD" w:rsidR="000C5B50">
        <w:t>th</w:t>
      </w:r>
      <w:r w:rsidRPr="004A7DCD">
        <w:t>o</w:t>
      </w:r>
      <w:r w:rsidRPr="004A7DCD" w:rsidR="000C5B50">
        <w:t xml:space="preserve">se regions/cities to more sophisticated measures </w:t>
      </w:r>
      <w:r w:rsidRPr="004A7DCD">
        <w:t xml:space="preserve">involving </w:t>
      </w:r>
      <w:r w:rsidRPr="004A7DCD" w:rsidR="000C5B50">
        <w:t xml:space="preserve">the development of transnational networks of entrepreneurs. </w:t>
      </w:r>
      <w:r w:rsidRPr="004A7DCD" w:rsidR="00EB1DF4">
        <w:t xml:space="preserve">The </w:t>
      </w:r>
      <w:r w:rsidRPr="004A7DCD" w:rsidR="000C5B50">
        <w:t>EU needs to support</w:t>
      </w:r>
      <w:r w:rsidRPr="004A7DCD" w:rsidR="009501C9">
        <w:t xml:space="preserve"> </w:t>
      </w:r>
      <w:r w:rsidRPr="004A7DCD" w:rsidR="000C5B50">
        <w:t>program</w:t>
      </w:r>
      <w:r w:rsidRPr="004A7DCD">
        <w:t>me</w:t>
      </w:r>
      <w:r w:rsidRPr="004A7DCD" w:rsidR="000C5B50">
        <w:t xml:space="preserve">s or initiatives that aim to enhance learning between different European </w:t>
      </w:r>
      <w:r w:rsidRPr="004A7DCD" w:rsidR="008E1CE9">
        <w:t>local and regional authorities (LRAs)</w:t>
      </w:r>
      <w:r w:rsidRPr="004A7DCD">
        <w:t>;</w:t>
      </w:r>
    </w:p>
    <w:p w:rsidRPr="004A7DCD" w:rsidR="000C5B50" w:rsidP="000C5B50" w:rsidRDefault="000C5B50" w14:paraId="4DD95FE3" w14:textId="77777777"/>
    <w:p w:rsidRPr="004A7DCD" w:rsidR="000C5B50" w:rsidP="000C5B50" w:rsidRDefault="00782D0F" w14:paraId="27406D72" w14:textId="77777777">
      <w:pPr>
        <w:pStyle w:val="Heading1"/>
        <w:ind w:left="567" w:hanging="567"/>
      </w:pPr>
      <w:r w:rsidRPr="004A7DCD">
        <w:t xml:space="preserve">sees </w:t>
      </w:r>
      <w:r w:rsidRPr="004A7DCD" w:rsidR="000C5B50">
        <w:t xml:space="preserve">local and regional players </w:t>
      </w:r>
      <w:r w:rsidRPr="004A7DCD">
        <w:t xml:space="preserve">as key </w:t>
      </w:r>
      <w:r w:rsidRPr="004A7DCD" w:rsidR="000C5B50">
        <w:t>to address</w:t>
      </w:r>
      <w:r w:rsidRPr="004A7DCD">
        <w:t>ing</w:t>
      </w:r>
      <w:r w:rsidRPr="004A7DCD" w:rsidR="000C5B50">
        <w:t xml:space="preserve"> </w:t>
      </w:r>
      <w:r w:rsidRPr="004A7DCD" w:rsidR="005361A6">
        <w:t>brain drain</w:t>
      </w:r>
      <w:r w:rsidRPr="004A7DCD">
        <w:t>;</w:t>
      </w:r>
      <w:r w:rsidRPr="004A7DCD" w:rsidR="000C5B50">
        <w:t xml:space="preserve"> attract</w:t>
      </w:r>
      <w:r w:rsidRPr="004A7DCD">
        <w:t>ing</w:t>
      </w:r>
      <w:r w:rsidRPr="004A7DCD" w:rsidR="000C5B50">
        <w:t xml:space="preserve"> and maintain</w:t>
      </w:r>
      <w:r w:rsidRPr="004A7DCD">
        <w:t>ing a</w:t>
      </w:r>
      <w:r w:rsidRPr="004A7DCD" w:rsidR="000C5B50">
        <w:t xml:space="preserve"> high</w:t>
      </w:r>
      <w:r w:rsidRPr="004A7DCD">
        <w:t>ly</w:t>
      </w:r>
      <w:r w:rsidRPr="004A7DCD" w:rsidR="000C5B50">
        <w:t xml:space="preserve"> skilled labour force can be ensured by </w:t>
      </w:r>
      <w:r w:rsidRPr="004A7DCD">
        <w:t xml:space="preserve">making good use of </w:t>
      </w:r>
      <w:r w:rsidRPr="004A7DCD" w:rsidR="000C5B50">
        <w:t xml:space="preserve">the </w:t>
      </w:r>
      <w:r w:rsidRPr="004A7DCD">
        <w:t>I</w:t>
      </w:r>
      <w:r w:rsidRPr="004A7DCD" w:rsidR="000C5B50">
        <w:t xml:space="preserve">ntegrated </w:t>
      </w:r>
      <w:r w:rsidRPr="004A7DCD">
        <w:t>T</w:t>
      </w:r>
      <w:r w:rsidRPr="004A7DCD" w:rsidR="000C5B50">
        <w:t xml:space="preserve">erritorial </w:t>
      </w:r>
      <w:r w:rsidRPr="004A7DCD">
        <w:t>D</w:t>
      </w:r>
      <w:r w:rsidRPr="004A7DCD" w:rsidR="000C5B50">
        <w:t xml:space="preserve">evelopment </w:t>
      </w:r>
      <w:r w:rsidRPr="004A7DCD">
        <w:t xml:space="preserve">instruments of </w:t>
      </w:r>
      <w:r w:rsidRPr="004A7DCD" w:rsidR="000C5B50">
        <w:t>cohesion policy</w:t>
      </w:r>
      <w:r w:rsidRPr="004A7DCD">
        <w:t>;</w:t>
      </w:r>
      <w:r w:rsidRPr="004A7DCD" w:rsidR="000C5B50">
        <w:t xml:space="preserve"> </w:t>
      </w:r>
    </w:p>
    <w:p w:rsidRPr="004A7DCD" w:rsidR="000C5B50" w:rsidP="000C5B50" w:rsidRDefault="000C5B50" w14:paraId="6DB36A0E" w14:textId="77777777"/>
    <w:p w:rsidRPr="004A7DCD" w:rsidR="000C5B50" w:rsidP="000C5B50" w:rsidRDefault="000C5B50" w14:paraId="16F88B68" w14:textId="0500EFCC">
      <w:pPr>
        <w:pStyle w:val="Heading1"/>
        <w:ind w:left="567" w:hanging="567"/>
      </w:pPr>
      <w:r w:rsidRPr="004A7DCD">
        <w:t>suggests that LRA</w:t>
      </w:r>
      <w:r w:rsidRPr="004A7DCD" w:rsidR="00782D0F">
        <w:t>s,</w:t>
      </w:r>
      <w:r w:rsidRPr="004A7DCD">
        <w:t xml:space="preserve"> in cooperation with national and EU authorities</w:t>
      </w:r>
      <w:r w:rsidRPr="004A7DCD" w:rsidR="00782D0F">
        <w:t>,</w:t>
      </w:r>
      <w:r w:rsidRPr="004A7DCD">
        <w:t xml:space="preserve"> </w:t>
      </w:r>
      <w:r w:rsidRPr="004A7DCD" w:rsidR="008B5E54">
        <w:t xml:space="preserve">should </w:t>
      </w:r>
      <w:r w:rsidRPr="004A7DCD">
        <w:t xml:space="preserve">promote policies and instruments </w:t>
      </w:r>
      <w:r w:rsidRPr="004A7DCD" w:rsidR="00782D0F">
        <w:t xml:space="preserve">to develop </w:t>
      </w:r>
      <w:r w:rsidRPr="004A7DCD">
        <w:t xml:space="preserve">local entrepreneurship, self-employment and alternative </w:t>
      </w:r>
      <w:r w:rsidRPr="004A7DCD" w:rsidR="00782D0F">
        <w:t xml:space="preserve">models of </w:t>
      </w:r>
      <w:r w:rsidRPr="004A7DCD">
        <w:t>business</w:t>
      </w:r>
      <w:r w:rsidRPr="004A7DCD" w:rsidR="00782D0F">
        <w:t xml:space="preserve"> </w:t>
      </w:r>
      <w:r w:rsidRPr="004A7DCD" w:rsidR="00EE2C12">
        <w:t>development</w:t>
      </w:r>
      <w:r w:rsidRPr="004A7DCD">
        <w:t xml:space="preserve"> </w:t>
      </w:r>
      <w:r w:rsidRPr="004A7DCD" w:rsidR="00782D0F">
        <w:t xml:space="preserve">that </w:t>
      </w:r>
      <w:r w:rsidRPr="004A7DCD">
        <w:t xml:space="preserve">increase the attractiveness of </w:t>
      </w:r>
      <w:r w:rsidRPr="004A7DCD" w:rsidR="00542737">
        <w:t xml:space="preserve">sending </w:t>
      </w:r>
      <w:r w:rsidRPr="004A7DCD">
        <w:t>regions</w:t>
      </w:r>
      <w:r w:rsidRPr="004A7DCD" w:rsidR="00782D0F">
        <w:t>;</w:t>
      </w:r>
    </w:p>
    <w:p w:rsidRPr="004A7DCD" w:rsidR="000C5B50" w:rsidP="000C5B50" w:rsidRDefault="000C5B50" w14:paraId="5808D30C" w14:textId="77777777"/>
    <w:p w:rsidRPr="004A7DCD" w:rsidR="000C5B50" w:rsidP="000C5B50" w:rsidRDefault="00FE57E8" w14:paraId="65954B06" w14:textId="3155C8B2">
      <w:pPr>
        <w:pStyle w:val="Heading1"/>
        <w:ind w:left="567" w:hanging="567"/>
      </w:pPr>
      <w:r w:rsidRPr="004A7DCD">
        <w:t xml:space="preserve">recommends </w:t>
      </w:r>
      <w:r w:rsidRPr="004A7DCD" w:rsidR="000C5B50">
        <w:t xml:space="preserve">that </w:t>
      </w:r>
      <w:r w:rsidRPr="004A7DCD" w:rsidR="00531EAB">
        <w:t>LRAs</w:t>
      </w:r>
      <w:r w:rsidRPr="004A7DCD" w:rsidR="000C5B50">
        <w:t xml:space="preserve"> </w:t>
      </w:r>
      <w:r w:rsidRPr="004A7DCD" w:rsidR="00914934">
        <w:t xml:space="preserve">make the </w:t>
      </w:r>
      <w:r w:rsidRPr="004A7DCD" w:rsidR="000C5B50">
        <w:t>connect</w:t>
      </w:r>
      <w:r w:rsidRPr="004A7DCD" w:rsidR="00914934">
        <w:t>ion</w:t>
      </w:r>
      <w:r w:rsidRPr="004A7DCD" w:rsidR="000C5B50">
        <w:t xml:space="preserve">, based on a realistic assessment of needs, </w:t>
      </w:r>
      <w:r w:rsidRPr="004A7DCD" w:rsidR="00914934">
        <w:t xml:space="preserve">between </w:t>
      </w:r>
      <w:r w:rsidRPr="004A7DCD" w:rsidR="000C5B50">
        <w:t>the</w:t>
      </w:r>
      <w:r w:rsidRPr="004A7DCD" w:rsidR="00914934">
        <w:t>ir</w:t>
      </w:r>
      <w:r w:rsidRPr="004A7DCD" w:rsidR="000C5B50">
        <w:t xml:space="preserve"> region</w:t>
      </w:r>
      <w:r w:rsidRPr="004A7DCD" w:rsidR="00914934">
        <w:t>'s particular assets</w:t>
      </w:r>
      <w:r w:rsidRPr="004A7DCD" w:rsidR="000C5B50">
        <w:t xml:space="preserve"> </w:t>
      </w:r>
      <w:r w:rsidRPr="004A7DCD" w:rsidR="00AA488C">
        <w:t xml:space="preserve">and </w:t>
      </w:r>
      <w:r w:rsidRPr="004A7DCD" w:rsidR="000C5B50">
        <w:t xml:space="preserve">the talents </w:t>
      </w:r>
      <w:r w:rsidRPr="004A7DCD" w:rsidR="00AA488C">
        <w:t>and policies that are needed</w:t>
      </w:r>
      <w:r w:rsidRPr="004A7DCD" w:rsidR="000C5B50">
        <w:t>;</w:t>
      </w:r>
    </w:p>
    <w:p w:rsidRPr="004A7DCD" w:rsidR="000C5B50" w:rsidP="000C5B50" w:rsidRDefault="000C5B50" w14:paraId="2B6C12F4" w14:textId="77777777"/>
    <w:p w:rsidRPr="004A7DCD" w:rsidR="000C5B50" w:rsidP="000C5B50" w:rsidRDefault="000C5B50" w14:paraId="6C1FD216" w14:textId="713975D0">
      <w:pPr>
        <w:pStyle w:val="Heading1"/>
        <w:ind w:left="567" w:hanging="567"/>
      </w:pPr>
      <w:r w:rsidRPr="004A7DCD">
        <w:t xml:space="preserve">suggests that </w:t>
      </w:r>
      <w:r w:rsidRPr="004A7DCD" w:rsidR="00531EAB">
        <w:t>LRAs</w:t>
      </w:r>
      <w:r w:rsidRPr="004A7DCD">
        <w:t xml:space="preserve"> set up </w:t>
      </w:r>
      <w:r w:rsidRPr="004A7DCD">
        <w:rPr>
          <w:i/>
        </w:rPr>
        <w:t>local alliances</w:t>
      </w:r>
      <w:r w:rsidRPr="004A7DCD" w:rsidR="00AA488C">
        <w:t>,</w:t>
      </w:r>
      <w:r w:rsidRPr="004A7DCD">
        <w:t xml:space="preserve"> includ</w:t>
      </w:r>
      <w:r w:rsidRPr="004A7DCD" w:rsidR="00AA488C">
        <w:t>ing</w:t>
      </w:r>
      <w:r w:rsidRPr="004A7DCD">
        <w:t xml:space="preserve"> all stakeholders (public authorities, businesses, universities, NGOs, etc.)</w:t>
      </w:r>
      <w:r w:rsidRPr="004A7DCD" w:rsidR="00AA488C">
        <w:t>,</w:t>
      </w:r>
      <w:r w:rsidRPr="004A7DCD">
        <w:t xml:space="preserve"> which are able to draft and implement local policies that help to mitigate brain drain.</w:t>
      </w:r>
      <w:r w:rsidRPr="004A7DCD">
        <w:rPr>
          <w:b/>
          <w:i/>
        </w:rPr>
        <w:t xml:space="preserve"> </w:t>
      </w:r>
      <w:r w:rsidRPr="004A7DCD" w:rsidR="00AA7195">
        <w:t>Re</w:t>
      </w:r>
      <w:r w:rsidRPr="004A7DCD" w:rsidR="005361A6">
        <w:t>gular</w:t>
      </w:r>
      <w:r w:rsidRPr="004A7DCD">
        <w:t xml:space="preserve"> meetings </w:t>
      </w:r>
      <w:r w:rsidRPr="004A7DCD" w:rsidR="00914934">
        <w:t xml:space="preserve">of </w:t>
      </w:r>
      <w:r w:rsidRPr="004A7DCD">
        <w:t>the relevant stakeholders should be supported and organi</w:t>
      </w:r>
      <w:r w:rsidRPr="004A7DCD" w:rsidR="00914934">
        <w:t>s</w:t>
      </w:r>
      <w:r w:rsidRPr="004A7DCD">
        <w:t xml:space="preserve">ed. Meetings should be used as </w:t>
      </w:r>
      <w:r w:rsidRPr="004A7DCD" w:rsidR="00914934">
        <w:t xml:space="preserve">forums </w:t>
      </w:r>
      <w:r w:rsidRPr="004A7DCD">
        <w:t xml:space="preserve">for discussing and </w:t>
      </w:r>
      <w:r w:rsidRPr="004A7DCD" w:rsidR="00914934">
        <w:t xml:space="preserve">envisaging </w:t>
      </w:r>
      <w:r w:rsidRPr="004A7DCD">
        <w:t>local and context</w:t>
      </w:r>
      <w:r w:rsidRPr="004A7DCD" w:rsidR="00914934">
        <w:t>-</w:t>
      </w:r>
      <w:r w:rsidRPr="004A7DCD">
        <w:t>specific solutions</w:t>
      </w:r>
      <w:r w:rsidRPr="004A7DCD" w:rsidR="00914934">
        <w:t>,</w:t>
      </w:r>
      <w:r w:rsidRPr="004A7DCD">
        <w:t xml:space="preserve"> based on success stories from other locations/jurisdictions;</w:t>
      </w:r>
    </w:p>
    <w:p w:rsidRPr="004A7DCD" w:rsidR="000C5B50" w:rsidP="000C5B50" w:rsidRDefault="000C5B50" w14:paraId="1BCB7FB8" w14:textId="77777777"/>
    <w:p w:rsidRPr="004A7DCD" w:rsidR="000C5B50" w:rsidP="000C5B50" w:rsidRDefault="00AF7B18" w14:paraId="68EF74B5" w14:textId="09349FF2">
      <w:pPr>
        <w:pStyle w:val="Heading1"/>
        <w:ind w:left="567" w:hanging="567"/>
      </w:pPr>
      <w:r w:rsidRPr="004A7DCD">
        <w:t xml:space="preserve">notes </w:t>
      </w:r>
      <w:r w:rsidRPr="004A7DCD" w:rsidR="000C5B50">
        <w:t xml:space="preserve">that rigorous strategic planning processes at the local and regional levels can </w:t>
      </w:r>
      <w:r w:rsidRPr="004A7DCD">
        <w:t xml:space="preserve">be </w:t>
      </w:r>
      <w:r w:rsidRPr="004A7DCD" w:rsidR="000C5B50">
        <w:t xml:space="preserve">important </w:t>
      </w:r>
      <w:r w:rsidRPr="004A7DCD">
        <w:t xml:space="preserve">in </w:t>
      </w:r>
      <w:r w:rsidRPr="004A7DCD" w:rsidR="000C5B50">
        <w:t>correlating the mobility of human resources with medium</w:t>
      </w:r>
      <w:r w:rsidRPr="004A7DCD">
        <w:t>-</w:t>
      </w:r>
      <w:r w:rsidRPr="004A7DCD" w:rsidR="000C5B50">
        <w:t xml:space="preserve"> and long</w:t>
      </w:r>
      <w:r w:rsidRPr="004A7DCD">
        <w:t>-</w:t>
      </w:r>
      <w:r w:rsidRPr="004A7DCD" w:rsidR="000C5B50">
        <w:t>term development plans</w:t>
      </w:r>
      <w:r w:rsidRPr="004A7DCD">
        <w:t>,</w:t>
      </w:r>
      <w:r w:rsidRPr="004A7DCD" w:rsidR="000C5B50">
        <w:t xml:space="preserve"> </w:t>
      </w:r>
      <w:r w:rsidRPr="004A7DCD">
        <w:t xml:space="preserve">as well as </w:t>
      </w:r>
      <w:r w:rsidRPr="004A7DCD" w:rsidR="000C5B50">
        <w:t>provid</w:t>
      </w:r>
      <w:r w:rsidRPr="004A7DCD">
        <w:t>ing</w:t>
      </w:r>
      <w:r w:rsidRPr="004A7DCD" w:rsidR="000C5B50">
        <w:t xml:space="preserve"> a sound foundation for cooperation with other regional, national, and European authorities;</w:t>
      </w:r>
    </w:p>
    <w:p w:rsidRPr="004A7DCD" w:rsidR="000C5B50" w:rsidP="000C5B50" w:rsidRDefault="000C5B50" w14:paraId="455D2CCE" w14:textId="77777777"/>
    <w:p w:rsidRPr="004A7DCD" w:rsidR="000C5B50" w:rsidP="000C5B50" w:rsidRDefault="00AA488C" w14:paraId="228CA7A4" w14:textId="2960BB2F">
      <w:pPr>
        <w:pStyle w:val="Heading1"/>
        <w:ind w:left="567" w:hanging="567"/>
      </w:pPr>
      <w:r w:rsidRPr="004A7DCD">
        <w:t xml:space="preserve">would like there to be </w:t>
      </w:r>
      <w:r w:rsidRPr="004A7DCD" w:rsidR="000C5B50">
        <w:t>a better understanding of the</w:t>
      </w:r>
      <w:r w:rsidRPr="004A7DCD" w:rsidR="000F2DA8">
        <w:t xml:space="preserve"> reasons and</w:t>
      </w:r>
      <w:r w:rsidRPr="004A7DCD" w:rsidR="000C5B50">
        <w:t xml:space="preserve"> barriers which prevent those who </w:t>
      </w:r>
      <w:r w:rsidRPr="004A7DCD" w:rsidR="00AF7B18">
        <w:t xml:space="preserve">have </w:t>
      </w:r>
      <w:r w:rsidRPr="004A7DCD" w:rsidR="009C789F">
        <w:t xml:space="preserve">emigrated </w:t>
      </w:r>
      <w:r w:rsidRPr="004A7DCD" w:rsidR="000C5B50">
        <w:t xml:space="preserve">in the past </w:t>
      </w:r>
      <w:r w:rsidRPr="004A7DCD" w:rsidR="00AF7B18">
        <w:t xml:space="preserve">from </w:t>
      </w:r>
      <w:r w:rsidRPr="004A7DCD" w:rsidR="000C5B50">
        <w:t>return</w:t>
      </w:r>
      <w:r w:rsidRPr="004A7DCD" w:rsidR="00AF7B18">
        <w:t>ing</w:t>
      </w:r>
      <w:r w:rsidRPr="004A7DCD" w:rsidR="000C5B50">
        <w:t xml:space="preserve"> to the</w:t>
      </w:r>
      <w:r w:rsidRPr="004A7DCD" w:rsidR="00AF7B18">
        <w:t>ir</w:t>
      </w:r>
      <w:r w:rsidRPr="004A7DCD" w:rsidR="000C5B50">
        <w:t xml:space="preserve"> place of origin and </w:t>
      </w:r>
      <w:r w:rsidRPr="004A7DCD">
        <w:t xml:space="preserve">a better understanding </w:t>
      </w:r>
      <w:r w:rsidRPr="004A7DCD" w:rsidR="00AF7B18">
        <w:t xml:space="preserve">of </w:t>
      </w:r>
      <w:r w:rsidRPr="004A7DCD" w:rsidR="000C5B50">
        <w:t xml:space="preserve">how public authorities can help </w:t>
      </w:r>
      <w:r w:rsidRPr="004A7DCD">
        <w:t xml:space="preserve">in </w:t>
      </w:r>
      <w:r w:rsidRPr="004A7DCD" w:rsidR="000C5B50">
        <w:t xml:space="preserve">reducing </w:t>
      </w:r>
      <w:r w:rsidRPr="004A7DCD" w:rsidR="008B5E54">
        <w:t xml:space="preserve">those </w:t>
      </w:r>
      <w:r w:rsidRPr="004A7DCD" w:rsidR="000C5B50">
        <w:t xml:space="preserve">barriers. This </w:t>
      </w:r>
      <w:r w:rsidRPr="004A7DCD" w:rsidR="00AF7B18">
        <w:t xml:space="preserve">could have </w:t>
      </w:r>
      <w:r w:rsidRPr="004A7DCD" w:rsidR="000C5B50">
        <w:t>a transformative effect</w:t>
      </w:r>
      <w:r w:rsidRPr="004A7DCD" w:rsidR="00AF7B18">
        <w:t>, turning</w:t>
      </w:r>
      <w:r w:rsidRPr="004A7DCD" w:rsidR="000C5B50">
        <w:t xml:space="preserve"> brain drain </w:t>
      </w:r>
      <w:r w:rsidRPr="004A7DCD" w:rsidR="00AF7B18">
        <w:t>in</w:t>
      </w:r>
      <w:r w:rsidRPr="004A7DCD" w:rsidR="000C5B50">
        <w:t>to brain circulation or re-migration;</w:t>
      </w:r>
    </w:p>
    <w:p w:rsidRPr="004A7DCD" w:rsidR="000C5B50" w:rsidP="000C5B50" w:rsidRDefault="000C5B50" w14:paraId="0907F907" w14:textId="77777777"/>
    <w:p w:rsidRPr="004A7DCD" w:rsidR="000C5B50" w:rsidP="000C5B50" w:rsidRDefault="000C5B50" w14:paraId="11E928BC" w14:textId="430134DF">
      <w:pPr>
        <w:pStyle w:val="Heading1"/>
        <w:ind w:left="567" w:hanging="567"/>
      </w:pPr>
      <w:r w:rsidRPr="002115C0">
        <w:t xml:space="preserve">recommends that action </w:t>
      </w:r>
      <w:r w:rsidRPr="002115C0" w:rsidR="00AF7B18">
        <w:t xml:space="preserve">at the </w:t>
      </w:r>
      <w:r w:rsidRPr="002115C0">
        <w:t>subnational levels be integrated and coordinated with that of the Member States and of the Union</w:t>
      </w:r>
      <w:r w:rsidRPr="00473A4A" w:rsidR="000D16C9">
        <w:rPr>
          <w:rFonts w:eastAsiaTheme="minorEastAsia"/>
        </w:rPr>
        <w:t xml:space="preserve"> </w:t>
      </w:r>
      <w:r w:rsidRPr="00473A4A" w:rsidR="000D16C9">
        <w:t>while respecting the subsidiarity principle</w:t>
      </w:r>
      <w:r w:rsidRPr="002115C0">
        <w:t>.</w:t>
      </w:r>
      <w:r w:rsidRPr="00473A4A">
        <w:t xml:space="preserve"> </w:t>
      </w:r>
      <w:r w:rsidRPr="004A7DCD">
        <w:t>Integration of efforts undertaken at various levels is crucial to successful EU policy. Policies and program</w:t>
      </w:r>
      <w:r w:rsidRPr="004A7DCD" w:rsidR="00AF7B18">
        <w:t>me</w:t>
      </w:r>
      <w:r w:rsidRPr="004A7DCD">
        <w:t xml:space="preserve">s should be developed to integrate and facilitate coordination between the action of </w:t>
      </w:r>
      <w:r w:rsidRPr="004A7DCD" w:rsidR="00531EAB">
        <w:t>LRAs</w:t>
      </w:r>
      <w:r w:rsidRPr="004A7DCD">
        <w:t xml:space="preserve"> on the one hand and that of the Member States and the Union on the other</w:t>
      </w:r>
      <w:r w:rsidRPr="004A7DCD" w:rsidR="00AA488C">
        <w:t>. This applies</w:t>
      </w:r>
      <w:r w:rsidRPr="004A7DCD">
        <w:t xml:space="preserve"> in all the areas that </w:t>
      </w:r>
      <w:r w:rsidRPr="004A7DCD" w:rsidR="00AF7B18">
        <w:t xml:space="preserve">are implicated in brain drain </w:t>
      </w:r>
      <w:r w:rsidRPr="004A7DCD">
        <w:t>(education, cohesion, regional development, digiti</w:t>
      </w:r>
      <w:r w:rsidRPr="004A7DCD" w:rsidR="00AF7B18">
        <w:t>s</w:t>
      </w:r>
      <w:r w:rsidRPr="004A7DCD">
        <w:t xml:space="preserve">ation, etc.). </w:t>
      </w:r>
      <w:r w:rsidRPr="0068669A">
        <w:t xml:space="preserve">A mechanism </w:t>
      </w:r>
      <w:r w:rsidRPr="0068669A" w:rsidR="00AA488C">
        <w:t xml:space="preserve">needs to be initiated at EU level that is </w:t>
      </w:r>
      <w:r w:rsidRPr="0068669A">
        <w:t xml:space="preserve">specifically designed to foster integration and coordination of policy </w:t>
      </w:r>
      <w:r w:rsidRPr="0068669A" w:rsidR="00AA488C">
        <w:t xml:space="preserve">measures on </w:t>
      </w:r>
      <w:r w:rsidRPr="0068669A">
        <w:t>brain drain</w:t>
      </w:r>
      <w:r w:rsidRPr="004A7DCD">
        <w:t>;</w:t>
      </w:r>
    </w:p>
    <w:p w:rsidRPr="004A7DCD" w:rsidR="000C5B50" w:rsidP="000C5B50" w:rsidRDefault="000C5B50" w14:paraId="38CC67B3" w14:textId="77777777"/>
    <w:p w:rsidRPr="004A7DCD" w:rsidR="000C5B50" w:rsidP="000C5B50" w:rsidRDefault="000C5B50" w14:paraId="14B308BC" w14:textId="0062C42B">
      <w:pPr>
        <w:pStyle w:val="Heading1"/>
        <w:ind w:left="567" w:hanging="567"/>
      </w:pPr>
      <w:r w:rsidRPr="004A7DCD">
        <w:t xml:space="preserve">suggests that </w:t>
      </w:r>
      <w:r w:rsidRPr="004A7DCD" w:rsidR="00531EAB">
        <w:t>LRAs</w:t>
      </w:r>
      <w:r w:rsidRPr="004A7DCD">
        <w:t xml:space="preserve"> need to be aware of the scale of the phenomenon and to </w:t>
      </w:r>
      <w:r w:rsidRPr="0068669A">
        <w:t>conduct realistic and serious assessments</w:t>
      </w:r>
      <w:r w:rsidRPr="004A7DCD">
        <w:t xml:space="preserve"> of the characteristics of each area affected by brain drain. Evidence-based decision</w:t>
      </w:r>
      <w:r w:rsidRPr="004A7DCD" w:rsidR="00AF7B18">
        <w:t>-</w:t>
      </w:r>
      <w:r w:rsidRPr="004A7DCD">
        <w:t xml:space="preserve"> and policy</w:t>
      </w:r>
      <w:r w:rsidRPr="004A7DCD" w:rsidR="00AF7B18">
        <w:t>-</w:t>
      </w:r>
      <w:r w:rsidRPr="004A7DCD">
        <w:t xml:space="preserve">making is the only way to </w:t>
      </w:r>
      <w:r w:rsidRPr="004A7DCD" w:rsidR="00AF7B18">
        <w:t xml:space="preserve">frame effective </w:t>
      </w:r>
      <w:r w:rsidRPr="004A7DCD">
        <w:t>solution</w:t>
      </w:r>
      <w:r w:rsidRPr="004A7DCD" w:rsidR="000A3045">
        <w:t>s</w:t>
      </w:r>
      <w:r w:rsidRPr="004A7DCD">
        <w:t xml:space="preserve">. </w:t>
      </w:r>
      <w:r w:rsidRPr="004A7DCD" w:rsidR="00AF7B18">
        <w:t>R</w:t>
      </w:r>
      <w:r w:rsidRPr="004A7DCD">
        <w:t xml:space="preserve">ealistic assessment of the brain drain phenomenon at the level of each region can help public authorities which face similar or </w:t>
      </w:r>
      <w:r w:rsidRPr="004A7DCD" w:rsidR="00584F83">
        <w:t xml:space="preserve">related </w:t>
      </w:r>
      <w:r w:rsidRPr="004A7DCD">
        <w:t>issues to replace competition with cooperation</w:t>
      </w:r>
      <w:r w:rsidRPr="004A7DCD" w:rsidR="00AF7B18">
        <w:t>,</w:t>
      </w:r>
      <w:r w:rsidRPr="004A7DCD">
        <w:t xml:space="preserve"> and </w:t>
      </w:r>
      <w:r w:rsidRPr="004A7DCD" w:rsidR="00AF7B18">
        <w:t xml:space="preserve">could improve </w:t>
      </w:r>
      <w:r w:rsidRPr="004A7DCD">
        <w:t xml:space="preserve">coordination </w:t>
      </w:r>
      <w:r w:rsidRPr="004A7DCD" w:rsidR="00AF7B18">
        <w:t xml:space="preserve">between </w:t>
      </w:r>
      <w:r w:rsidRPr="004A7DCD">
        <w:t xml:space="preserve">all stakeholders of </w:t>
      </w:r>
      <w:r w:rsidRPr="004A7DCD" w:rsidR="00AF7B18">
        <w:t>on</w:t>
      </w:r>
      <w:r w:rsidRPr="004A7DCD">
        <w:t>going efforts and existing resources;</w:t>
      </w:r>
    </w:p>
    <w:p w:rsidRPr="004A7DCD" w:rsidR="007431A6" w:rsidP="007431A6" w:rsidRDefault="007431A6" w14:paraId="3362CB72" w14:textId="77777777"/>
    <w:p w:rsidRPr="004A7DCD" w:rsidR="000C5B50" w:rsidP="000C5B50" w:rsidRDefault="000D0006" w14:paraId="7023A243" w14:textId="33FBBB58">
      <w:pPr>
        <w:pStyle w:val="Heading1"/>
        <w:ind w:left="567" w:hanging="567"/>
      </w:pPr>
      <w:r w:rsidRPr="004A7DCD">
        <w:t xml:space="preserve">believes </w:t>
      </w:r>
      <w:r w:rsidRPr="004A7DCD" w:rsidR="000C5B50">
        <w:t xml:space="preserve">that quick procedures for </w:t>
      </w:r>
      <w:r w:rsidRPr="004A7DCD" w:rsidR="00772A86">
        <w:t xml:space="preserve">recognising </w:t>
      </w:r>
      <w:r w:rsidRPr="004A7DCD" w:rsidR="000C5B50">
        <w:t>diploma</w:t>
      </w:r>
      <w:r w:rsidRPr="004A7DCD" w:rsidR="00772A86">
        <w:t>s</w:t>
      </w:r>
      <w:r w:rsidRPr="004A7DCD" w:rsidR="000C5B50">
        <w:t xml:space="preserve"> and skills/competencies </w:t>
      </w:r>
      <w:r w:rsidRPr="004A7DCD">
        <w:t xml:space="preserve">could </w:t>
      </w:r>
      <w:r w:rsidRPr="004A7DCD" w:rsidR="000C5B50">
        <w:t>help a lot in reducing brain waste</w:t>
      </w:r>
      <w:r w:rsidRPr="002115C0" w:rsidR="000C5B50">
        <w:t>. Digiti</w:t>
      </w:r>
      <w:r w:rsidRPr="002115C0">
        <w:t>s</w:t>
      </w:r>
      <w:r w:rsidRPr="002115C0" w:rsidR="000C5B50">
        <w:t xml:space="preserve">ation and interconnection of records is </w:t>
      </w:r>
      <w:r w:rsidRPr="002115C0">
        <w:t xml:space="preserve">feasible </w:t>
      </w:r>
      <w:r w:rsidRPr="002115C0" w:rsidR="000C5B50">
        <w:t>and necessary</w:t>
      </w:r>
      <w:r w:rsidRPr="002115C0">
        <w:t xml:space="preserve"> here</w:t>
      </w:r>
      <w:r w:rsidRPr="002115C0" w:rsidR="000C5B50">
        <w:t xml:space="preserve">, based on </w:t>
      </w:r>
      <w:r w:rsidRPr="002115C0" w:rsidR="000A3045">
        <w:t xml:space="preserve">diverse </w:t>
      </w:r>
      <w:r w:rsidRPr="002115C0" w:rsidR="000C5B50">
        <w:t>EU initiatives</w:t>
      </w:r>
      <w:r w:rsidRPr="002115C0" w:rsidR="009D525C">
        <w:t>,</w:t>
      </w:r>
      <w:r w:rsidRPr="00473A4A" w:rsidR="000D16C9">
        <w:rPr>
          <w:rFonts w:eastAsiaTheme="minorEastAsia"/>
        </w:rPr>
        <w:t xml:space="preserve"> </w:t>
      </w:r>
      <w:r w:rsidRPr="00473A4A" w:rsidR="000D16C9">
        <w:t>including the upcoming Europass digitally signed credentials</w:t>
      </w:r>
      <w:r w:rsidRPr="002115C0" w:rsidR="000C5B50">
        <w:t xml:space="preserve">. </w:t>
      </w:r>
      <w:r w:rsidRPr="004A7DCD" w:rsidR="000C5B50">
        <w:t xml:space="preserve">Furthermore, </w:t>
      </w:r>
      <w:r w:rsidRPr="004A7DCD" w:rsidR="00F94B58">
        <w:t xml:space="preserve">welcomes </w:t>
      </w:r>
      <w:r w:rsidRPr="004A7DCD" w:rsidR="000C5B50">
        <w:t xml:space="preserve">the </w:t>
      </w:r>
      <w:r w:rsidRPr="004A7DCD">
        <w:t xml:space="preserve">initiative </w:t>
      </w:r>
      <w:r w:rsidRPr="004A7DCD" w:rsidR="000C5B50">
        <w:t>of the E</w:t>
      </w:r>
      <w:r w:rsidRPr="004A7DCD">
        <w:t>uropean</w:t>
      </w:r>
      <w:r w:rsidRPr="004A7DCD" w:rsidR="000C5B50">
        <w:t xml:space="preserve"> Commission for a European Education Area by 2025</w:t>
      </w:r>
      <w:r w:rsidRPr="004A7DCD" w:rsidR="00AA488C">
        <w:t>,</w:t>
      </w:r>
      <w:r w:rsidRPr="004A7DCD" w:rsidR="00FD497F">
        <w:t xml:space="preserve"> </w:t>
      </w:r>
      <w:r w:rsidRPr="004A7DCD" w:rsidR="000C5B50">
        <w:t>in which</w:t>
      </w:r>
      <w:r w:rsidRPr="004A7DCD" w:rsidR="007431A6">
        <w:t xml:space="preserve"> learning, studying and doing research would not be hampered by borders</w:t>
      </w:r>
      <w:r w:rsidRPr="004A7DCD" w:rsidR="00F94B58">
        <w:t>. Points at the same time</w:t>
      </w:r>
      <w:r w:rsidRPr="004A7DCD" w:rsidR="007431A6">
        <w:t xml:space="preserve"> to the </w:t>
      </w:r>
      <w:r w:rsidRPr="004A7DCD" w:rsidR="00F94B58">
        <w:t xml:space="preserve">need to </w:t>
      </w:r>
      <w:r w:rsidRPr="004A7DCD" w:rsidR="007431A6">
        <w:t xml:space="preserve">put in place </w:t>
      </w:r>
      <w:r w:rsidRPr="004A7DCD" w:rsidR="00F94B58">
        <w:t xml:space="preserve">mechanisms </w:t>
      </w:r>
      <w:r w:rsidRPr="004A7DCD" w:rsidR="007431A6">
        <w:t>to foster brain circulation and re-migration;</w:t>
      </w:r>
    </w:p>
    <w:p w:rsidRPr="004A7DCD" w:rsidR="007431A6" w:rsidP="007431A6" w:rsidRDefault="007431A6" w14:paraId="2214D9FB" w14:textId="77777777"/>
    <w:p w:rsidRPr="004A7DCD" w:rsidR="007431A6" w:rsidP="007431A6" w:rsidRDefault="007431A6" w14:paraId="14FB2C8E" w14:textId="71B72871">
      <w:pPr>
        <w:pStyle w:val="Heading1"/>
        <w:ind w:left="567" w:hanging="567"/>
      </w:pPr>
      <w:r w:rsidRPr="004A7DCD">
        <w:t>recommends</w:t>
      </w:r>
      <w:r w:rsidRPr="0068669A">
        <w:t xml:space="preserve"> </w:t>
      </w:r>
      <w:r w:rsidRPr="0068669A" w:rsidR="00772A86">
        <w:t>that</w:t>
      </w:r>
      <w:r w:rsidRPr="0068669A">
        <w:t xml:space="preserve"> the </w:t>
      </w:r>
      <w:r w:rsidRPr="0068669A" w:rsidR="00FD497F">
        <w:t xml:space="preserve">European </w:t>
      </w:r>
      <w:r w:rsidRPr="0068669A">
        <w:t xml:space="preserve">Commission </w:t>
      </w:r>
      <w:r w:rsidRPr="0068669A" w:rsidR="00772A86">
        <w:t>step</w:t>
      </w:r>
      <w:r w:rsidRPr="004A7DCD" w:rsidR="006074E6">
        <w:t>s</w:t>
      </w:r>
      <w:r w:rsidRPr="0068669A" w:rsidR="00772A86">
        <w:t xml:space="preserve"> up its efforts </w:t>
      </w:r>
      <w:r w:rsidRPr="0068669A">
        <w:t>to reduce regional disparities</w:t>
      </w:r>
      <w:r w:rsidRPr="0068669A" w:rsidR="00772A86">
        <w:t>,</w:t>
      </w:r>
      <w:r w:rsidRPr="0068669A">
        <w:t xml:space="preserve"> which are one of the major causes of brain drain.</w:t>
      </w:r>
      <w:r w:rsidRPr="004A7DCD">
        <w:t xml:space="preserve"> The </w:t>
      </w:r>
      <w:r w:rsidRPr="004A7DCD" w:rsidR="00772A86">
        <w:t>c</w:t>
      </w:r>
      <w:r w:rsidRPr="004A7DCD">
        <w:t xml:space="preserve">ohesion </w:t>
      </w:r>
      <w:r w:rsidRPr="004A7DCD" w:rsidR="00772A86">
        <w:t>f</w:t>
      </w:r>
      <w:r w:rsidRPr="004A7DCD">
        <w:t>unds play a crucial role in supporting our regions and areas that suffer from such disparities. Tailored policies and instruments that directly tackle these disparities between east</w:t>
      </w:r>
      <w:r w:rsidRPr="004A7DCD" w:rsidR="00772A86">
        <w:t>ern</w:t>
      </w:r>
      <w:r w:rsidRPr="004A7DCD" w:rsidR="00541C7B">
        <w:t>/</w:t>
      </w:r>
      <w:r w:rsidRPr="004A7DCD">
        <w:t>south</w:t>
      </w:r>
      <w:r w:rsidRPr="004A7DCD" w:rsidR="00772A86">
        <w:t>ern</w:t>
      </w:r>
      <w:r w:rsidRPr="004A7DCD">
        <w:t xml:space="preserve"> </w:t>
      </w:r>
      <w:r w:rsidRPr="004A7DCD" w:rsidR="00772A86">
        <w:t xml:space="preserve">Europe </w:t>
      </w:r>
      <w:r w:rsidRPr="004A7DCD">
        <w:t xml:space="preserve">and the western </w:t>
      </w:r>
      <w:r w:rsidRPr="004A7DCD" w:rsidR="00772A86">
        <w:t>countries</w:t>
      </w:r>
      <w:r w:rsidRPr="004A7DCD" w:rsidR="00FD497F">
        <w:rPr>
          <w:bCs/>
          <w:iCs/>
        </w:rPr>
        <w:t>, as well as in between regions within Member States</w:t>
      </w:r>
      <w:r w:rsidRPr="004A7DCD" w:rsidR="00772A86">
        <w:t xml:space="preserve"> </w:t>
      </w:r>
      <w:r w:rsidRPr="004A7DCD">
        <w:t>are essential in eliminating one of the main causes of brain drain. The political commitment of the Commission</w:t>
      </w:r>
      <w:r w:rsidRPr="004A7DCD">
        <w:rPr>
          <w:vertAlign w:val="superscript"/>
        </w:rPr>
        <w:footnoteReference w:id="4"/>
      </w:r>
      <w:r w:rsidRPr="004A7DCD">
        <w:t xml:space="preserve"> </w:t>
      </w:r>
      <w:r w:rsidRPr="004A7DCD" w:rsidR="00541C7B">
        <w:t xml:space="preserve">to </w:t>
      </w:r>
      <w:r w:rsidRPr="004A7DCD">
        <w:t xml:space="preserve">a fair minimum wage is </w:t>
      </w:r>
      <w:r w:rsidRPr="004A7DCD" w:rsidR="00541C7B">
        <w:t>very relevant,</w:t>
      </w:r>
      <w:r w:rsidRPr="004A7DCD">
        <w:t xml:space="preserve"> especially in send</w:t>
      </w:r>
      <w:r w:rsidRPr="004A7DCD" w:rsidR="00542737">
        <w:t xml:space="preserve">ing </w:t>
      </w:r>
      <w:r w:rsidRPr="004A7DCD">
        <w:t xml:space="preserve">regions, as </w:t>
      </w:r>
      <w:r w:rsidRPr="004A7DCD" w:rsidR="00541C7B">
        <w:t xml:space="preserve">this would </w:t>
      </w:r>
      <w:r w:rsidRPr="004A7DCD">
        <w:t>tackle the issue of living standards</w:t>
      </w:r>
      <w:r w:rsidRPr="004A7DCD" w:rsidR="00541C7B">
        <w:t xml:space="preserve"> and</w:t>
      </w:r>
      <w:r w:rsidRPr="004A7DCD">
        <w:t xml:space="preserve"> working conditions</w:t>
      </w:r>
      <w:r w:rsidRPr="004A7DCD" w:rsidR="00541C7B">
        <w:t>,</w:t>
      </w:r>
      <w:r w:rsidRPr="004A7DCD">
        <w:t xml:space="preserve"> and </w:t>
      </w:r>
      <w:r w:rsidRPr="004A7DCD" w:rsidR="00541C7B">
        <w:t xml:space="preserve">have a </w:t>
      </w:r>
      <w:r w:rsidRPr="004A7DCD">
        <w:t xml:space="preserve">direct </w:t>
      </w:r>
      <w:r w:rsidRPr="004A7DCD" w:rsidR="00541C7B">
        <w:t xml:space="preserve">impact on </w:t>
      </w:r>
      <w:r w:rsidRPr="004A7DCD">
        <w:t>quality of life. The EU</w:t>
      </w:r>
      <w:r w:rsidRPr="004A7DCD" w:rsidR="00541C7B">
        <w:t>'s</w:t>
      </w:r>
      <w:r w:rsidRPr="004A7DCD">
        <w:t xml:space="preserve"> cohesion policy </w:t>
      </w:r>
      <w:r w:rsidRPr="004A7DCD" w:rsidR="00541C7B">
        <w:t xml:space="preserve">for </w:t>
      </w:r>
      <w:r w:rsidRPr="004A7DCD">
        <w:t xml:space="preserve">2021-2027 should be a long-term policy </w:t>
      </w:r>
      <w:r w:rsidRPr="004A7DCD" w:rsidR="00541C7B">
        <w:t xml:space="preserve">of investment </w:t>
      </w:r>
      <w:r w:rsidRPr="004A7DCD">
        <w:t xml:space="preserve">for all regions, focused on overcoming economic, social and </w:t>
      </w:r>
      <w:r w:rsidRPr="004A7DCD" w:rsidR="00541C7B">
        <w:t xml:space="preserve">regional </w:t>
      </w:r>
      <w:r w:rsidRPr="004A7DCD">
        <w:t>divides</w:t>
      </w:r>
      <w:r w:rsidRPr="004A7DCD" w:rsidR="00541C7B">
        <w:t xml:space="preserve"> and</w:t>
      </w:r>
      <w:r w:rsidRPr="004A7DCD">
        <w:t xml:space="preserve"> </w:t>
      </w:r>
      <w:r w:rsidRPr="004A7DCD" w:rsidR="0004451B">
        <w:t xml:space="preserve">in line with </w:t>
      </w:r>
      <w:r w:rsidRPr="004A7DCD">
        <w:t xml:space="preserve">the partnership principle and </w:t>
      </w:r>
      <w:r w:rsidRPr="004A7DCD" w:rsidR="0004451B">
        <w:t xml:space="preserve">a </w:t>
      </w:r>
      <w:r w:rsidRPr="004A7DCD">
        <w:t>place-based approach</w:t>
      </w:r>
      <w:r w:rsidRPr="004A7DCD" w:rsidR="0004451B">
        <w:t>. Cohesion policy should be</w:t>
      </w:r>
      <w:r w:rsidRPr="004A7DCD">
        <w:t xml:space="preserve"> better coordinated with other EU policies </w:t>
      </w:r>
      <w:r w:rsidRPr="004A7DCD" w:rsidR="0004451B">
        <w:t xml:space="preserve">so that there is </w:t>
      </w:r>
      <w:r w:rsidRPr="004A7DCD">
        <w:t>a level playing</w:t>
      </w:r>
      <w:r w:rsidRPr="004A7DCD" w:rsidR="0004451B">
        <w:t>-</w:t>
      </w:r>
      <w:r w:rsidRPr="004A7DCD">
        <w:t>field.</w:t>
      </w:r>
      <w:r w:rsidRPr="004A7DCD" w:rsidR="00EA11A0">
        <w:t xml:space="preserve"> </w:t>
      </w:r>
      <w:r w:rsidRPr="004A7DCD" w:rsidR="0004451B">
        <w:t>V</w:t>
      </w:r>
      <w:r w:rsidRPr="004A7DCD" w:rsidR="00EA11A0">
        <w:t xml:space="preserve">ertical coordination of different funding sources </w:t>
      </w:r>
      <w:r w:rsidRPr="004A7DCD" w:rsidR="0004451B">
        <w:t xml:space="preserve">should be improved at EU level </w:t>
      </w:r>
      <w:r w:rsidRPr="004A7DCD" w:rsidR="00EA11A0">
        <w:t>in the governance of post</w:t>
      </w:r>
      <w:r w:rsidRPr="004A7DCD" w:rsidR="0004451B">
        <w:t>-</w:t>
      </w:r>
      <w:r w:rsidRPr="004A7DCD" w:rsidR="00EA11A0">
        <w:t xml:space="preserve">2020 </w:t>
      </w:r>
      <w:r w:rsidRPr="004A7DCD" w:rsidR="0004451B">
        <w:t>cohesion p</w:t>
      </w:r>
      <w:r w:rsidRPr="004A7DCD" w:rsidR="00EA11A0">
        <w:t>olicy</w:t>
      </w:r>
      <w:r w:rsidRPr="004A7DCD" w:rsidR="00863637">
        <w:t xml:space="preserve"> and programmes</w:t>
      </w:r>
      <w:r w:rsidRPr="004A7DCD" w:rsidR="0004451B">
        <w:t xml:space="preserve">, </w:t>
      </w:r>
      <w:r w:rsidRPr="004A7DCD" w:rsidR="00863637">
        <w:t xml:space="preserve">so as </w:t>
      </w:r>
      <w:r w:rsidRPr="004A7DCD" w:rsidR="00EA11A0">
        <w:t>to guarantee more coherence of agendas at different governance and planning levels in the short to medium term</w:t>
      </w:r>
      <w:r w:rsidRPr="004A7DCD" w:rsidR="00EA11A0">
        <w:rPr>
          <w:rStyle w:val="FootnoteReference"/>
        </w:rPr>
        <w:footnoteReference w:id="5"/>
      </w:r>
      <w:r w:rsidRPr="004A7DCD">
        <w:t>;</w:t>
      </w:r>
    </w:p>
    <w:p w:rsidRPr="004A7DCD" w:rsidR="007431A6" w:rsidP="007431A6" w:rsidRDefault="007431A6" w14:paraId="02E90A2C" w14:textId="77777777"/>
    <w:p w:rsidRPr="004A7DCD" w:rsidR="007431A6" w:rsidP="007431A6" w:rsidRDefault="007431A6" w14:paraId="4137F182" w14:textId="6A51FB13">
      <w:pPr>
        <w:pStyle w:val="Heading1"/>
        <w:ind w:left="567" w:hanging="567"/>
      </w:pPr>
      <w:r w:rsidRPr="004A7DCD">
        <w:t xml:space="preserve">recommends </w:t>
      </w:r>
      <w:r w:rsidRPr="004A7DCD" w:rsidR="0004451B">
        <w:t xml:space="preserve">that </w:t>
      </w:r>
      <w:r w:rsidRPr="004A7DCD">
        <w:t>realistic policies to attract, retain, and re-attract an educated workforce be designed and implemented at local and regional level. One key strategic concept is quality of life</w:t>
      </w:r>
      <w:r w:rsidRPr="004A7DCD" w:rsidR="0004451B">
        <w:t>:</w:t>
      </w:r>
      <w:r w:rsidRPr="004A7DCD">
        <w:t xml:space="preserve"> </w:t>
      </w:r>
      <w:r w:rsidRPr="004A7DCD" w:rsidR="0004451B">
        <w:t>a</w:t>
      </w:r>
      <w:r w:rsidRPr="004A7DCD">
        <w:t xml:space="preserve">s indicated, </w:t>
      </w:r>
      <w:r w:rsidRPr="0068669A">
        <w:t>enhancing quality of life</w:t>
      </w:r>
      <w:r w:rsidRPr="004A7DCD">
        <w:t xml:space="preserve"> is a very powerful tool for attracting and retaining an educated workforce</w:t>
      </w:r>
      <w:r w:rsidR="00E7785F">
        <w:t>.</w:t>
      </w:r>
      <w:r w:rsidRPr="00E7785F" w:rsidR="00E7785F">
        <w:t xml:space="preserve"> </w:t>
      </w:r>
      <w:r w:rsidRPr="00964C4C" w:rsidR="00E7785F">
        <w:t>It is advisable and desirable that quality of life measurements be conducted regularly and in a structured way, so that they provide valuable information to LRAs about possible areas where intervention is needed</w:t>
      </w:r>
      <w:r w:rsidRPr="004A7DCD">
        <w:t>;</w:t>
      </w:r>
    </w:p>
    <w:p w:rsidRPr="004A7DCD" w:rsidR="007431A6" w:rsidP="007431A6" w:rsidRDefault="007431A6" w14:paraId="1A38D28F" w14:textId="77777777"/>
    <w:p w:rsidRPr="004A7DCD" w:rsidR="007431A6" w:rsidP="007431A6" w:rsidRDefault="007431A6" w14:paraId="10F289A0" w14:textId="7FB7A0AC">
      <w:pPr>
        <w:pStyle w:val="Heading1"/>
        <w:ind w:left="567" w:hanging="567"/>
      </w:pPr>
      <w:r w:rsidRPr="004A7DCD">
        <w:t xml:space="preserve">suggests that local, regional, national and EU authorities should focus on functional approaches to reverse emigration and attract </w:t>
      </w:r>
      <w:r w:rsidRPr="004A7DCD" w:rsidR="00863637">
        <w:t>workers</w:t>
      </w:r>
      <w:r w:rsidRPr="0068669A">
        <w:rPr>
          <w:sz w:val="24"/>
          <w:szCs w:val="24"/>
          <w:vertAlign w:val="superscript"/>
        </w:rPr>
        <w:footnoteReference w:id="6"/>
      </w:r>
      <w:r w:rsidRPr="004A7DCD">
        <w:t xml:space="preserve">: </w:t>
      </w:r>
      <w:r w:rsidRPr="004A7DCD" w:rsidR="00863637">
        <w:t xml:space="preserve">these include </w:t>
      </w:r>
      <w:r w:rsidRPr="004A7DCD">
        <w:t xml:space="preserve">building </w:t>
      </w:r>
      <w:r w:rsidRPr="004A7DCD" w:rsidR="00863637">
        <w:t xml:space="preserve">a </w:t>
      </w:r>
      <w:r w:rsidRPr="004A7DCD">
        <w:t xml:space="preserve">knowledge economy, improving the attractiveness of regions, developing diaspora strategies, </w:t>
      </w:r>
      <w:r w:rsidRPr="004A7DCD" w:rsidR="00863637">
        <w:t xml:space="preserve">and </w:t>
      </w:r>
      <w:r w:rsidRPr="004A7DCD">
        <w:t>implementing a functional approach in urban governance;</w:t>
      </w:r>
    </w:p>
    <w:p w:rsidRPr="004A7DCD" w:rsidR="007431A6" w:rsidP="007431A6" w:rsidRDefault="007431A6" w14:paraId="43967227" w14:textId="77777777"/>
    <w:p w:rsidRPr="004A7DCD" w:rsidR="007431A6" w:rsidP="007431A6" w:rsidRDefault="007431A6" w14:paraId="7DA61064" w14:textId="632E0776">
      <w:pPr>
        <w:pStyle w:val="Heading1"/>
        <w:ind w:left="567" w:hanging="567"/>
      </w:pPr>
      <w:r w:rsidRPr="004A7DCD">
        <w:t>suggests that local, regional, national, and EU authorities need to pay special attention to</w:t>
      </w:r>
      <w:r w:rsidRPr="004A7DCD" w:rsidR="00F7144E">
        <w:t xml:space="preserve"> </w:t>
      </w:r>
      <w:r w:rsidRPr="004A7DCD" w:rsidR="00812368">
        <w:t xml:space="preserve">removing </w:t>
      </w:r>
      <w:r w:rsidRPr="004A7DCD">
        <w:t xml:space="preserve">structural </w:t>
      </w:r>
      <w:r w:rsidRPr="004A7DCD" w:rsidR="00812368">
        <w:t xml:space="preserve">factors that </w:t>
      </w:r>
      <w:r w:rsidRPr="004A7DCD">
        <w:t>exacerbate brain drain (infrastructure/highways, quality of services, access to technology, etc.);</w:t>
      </w:r>
    </w:p>
    <w:p w:rsidRPr="004A7DCD" w:rsidR="007431A6" w:rsidP="007431A6" w:rsidRDefault="007431A6" w14:paraId="66CFBE71" w14:textId="77777777"/>
    <w:p w:rsidRPr="004A7DCD" w:rsidR="007431A6" w:rsidP="007431A6" w:rsidRDefault="00812368" w14:paraId="4AC9E777" w14:textId="123B131E">
      <w:pPr>
        <w:pStyle w:val="Heading1"/>
        <w:ind w:left="567" w:hanging="567"/>
      </w:pPr>
      <w:r w:rsidRPr="004A7DCD">
        <w:t xml:space="preserve">highlights </w:t>
      </w:r>
      <w:r w:rsidRPr="0068669A" w:rsidR="007431A6">
        <w:t xml:space="preserve">the need to develop an integrated European approach </w:t>
      </w:r>
      <w:r w:rsidRPr="0068669A">
        <w:t xml:space="preserve">to </w:t>
      </w:r>
      <w:r w:rsidRPr="0068669A" w:rsidR="007431A6">
        <w:t>brain drain based on realistic assessments, cooperation and coordination at local/regional, national and Union levels</w:t>
      </w:r>
      <w:r w:rsidRPr="004A7DCD" w:rsidR="007431A6">
        <w:t xml:space="preserve">. Similarly, the need for coordinated policies </w:t>
      </w:r>
      <w:r w:rsidRPr="004A7DCD">
        <w:t xml:space="preserve">on </w:t>
      </w:r>
      <w:r w:rsidRPr="004A7DCD" w:rsidR="007431A6">
        <w:t xml:space="preserve">various scales is needed in areas </w:t>
      </w:r>
      <w:r w:rsidRPr="004A7DCD">
        <w:t xml:space="preserve">relevant </w:t>
      </w:r>
      <w:r w:rsidRPr="004A7DCD" w:rsidR="007431A6">
        <w:t>to brain drain</w:t>
      </w:r>
      <w:r w:rsidRPr="004A7DCD">
        <w:t>, including</w:t>
      </w:r>
      <w:r w:rsidRPr="004A7DCD" w:rsidR="007431A6">
        <w:t xml:space="preserve"> education, digiti</w:t>
      </w:r>
      <w:r w:rsidRPr="004A7DCD">
        <w:t>s</w:t>
      </w:r>
      <w:r w:rsidRPr="004A7DCD" w:rsidR="007431A6">
        <w:t xml:space="preserve">ation, cohesion, </w:t>
      </w:r>
      <w:r w:rsidRPr="004A7DCD">
        <w:t xml:space="preserve">and </w:t>
      </w:r>
      <w:r w:rsidRPr="004A7DCD" w:rsidR="007431A6">
        <w:t>economic policies;</w:t>
      </w:r>
    </w:p>
    <w:p w:rsidRPr="004A7DCD" w:rsidR="007431A6" w:rsidP="007431A6" w:rsidRDefault="007431A6" w14:paraId="3EC1A815" w14:textId="77777777"/>
    <w:p w:rsidRPr="004A7DCD" w:rsidR="007431A6" w:rsidP="007431A6" w:rsidRDefault="00812368" w14:paraId="2659FE07" w14:textId="7F591014">
      <w:pPr>
        <w:pStyle w:val="Heading1"/>
        <w:ind w:left="567" w:hanging="567"/>
      </w:pPr>
      <w:r w:rsidRPr="004A7DCD">
        <w:t>considers</w:t>
      </w:r>
      <w:r w:rsidRPr="004A7DCD" w:rsidR="007431A6">
        <w:t xml:space="preserve"> it crucial that </w:t>
      </w:r>
      <w:r w:rsidRPr="004A7DCD" w:rsidR="00531EAB">
        <w:t>LRAs</w:t>
      </w:r>
      <w:r w:rsidRPr="004A7DCD" w:rsidR="007431A6">
        <w:t xml:space="preserve"> understand the importance of </w:t>
      </w:r>
      <w:r w:rsidRPr="004A7DCD" w:rsidR="00875E7F">
        <w:t>universities'</w:t>
      </w:r>
      <w:r w:rsidRPr="004A7DCD">
        <w:t xml:space="preserve"> </w:t>
      </w:r>
      <w:r w:rsidRPr="004A7DCD" w:rsidR="00221A15">
        <w:rPr>
          <w:bCs/>
          <w:iCs/>
        </w:rPr>
        <w:t>and vocational education and training providers</w:t>
      </w:r>
      <w:r w:rsidRPr="004A7DCD" w:rsidR="00F7144E">
        <w:rPr>
          <w:bCs/>
          <w:iCs/>
        </w:rPr>
        <w:t>'</w:t>
      </w:r>
      <w:r w:rsidRPr="004A7DCD" w:rsidR="00221A15">
        <w:t xml:space="preserve"> </w:t>
      </w:r>
      <w:r w:rsidRPr="004A7DCD">
        <w:t>role</w:t>
      </w:r>
      <w:r w:rsidRPr="004A7DCD" w:rsidR="007431A6">
        <w:t xml:space="preserve"> in local development </w:t>
      </w:r>
      <w:r w:rsidRPr="004A7DCD">
        <w:t xml:space="preserve">within </w:t>
      </w:r>
      <w:r w:rsidRPr="004A7DCD" w:rsidR="007431A6">
        <w:t>the knowledge-based economy. Public authorities need to develop partnerships with universities</w:t>
      </w:r>
      <w:r w:rsidRPr="004A7DCD">
        <w:t>,</w:t>
      </w:r>
      <w:r w:rsidRPr="004A7DCD" w:rsidR="007431A6">
        <w:t xml:space="preserve"> </w:t>
      </w:r>
      <w:r w:rsidRPr="004A7DCD">
        <w:t xml:space="preserve">and also </w:t>
      </w:r>
      <w:r w:rsidRPr="004A7DCD" w:rsidR="007431A6">
        <w:t>to be aware of the need to support universities, including through investment in local infrastructure. The</w:t>
      </w:r>
      <w:r w:rsidRPr="004A7DCD" w:rsidR="00057F58">
        <w:t xml:space="preserve">re must be </w:t>
      </w:r>
      <w:r w:rsidRPr="004A7DCD" w:rsidR="00863637">
        <w:t>as much</w:t>
      </w:r>
      <w:r w:rsidRPr="004A7DCD" w:rsidR="00057F58">
        <w:t xml:space="preserve"> affinity </w:t>
      </w:r>
      <w:r w:rsidRPr="004A7DCD" w:rsidR="00863637">
        <w:t xml:space="preserve">as possible </w:t>
      </w:r>
      <w:r w:rsidRPr="004A7DCD" w:rsidR="00057F58">
        <w:t>between the</w:t>
      </w:r>
      <w:r w:rsidRPr="004A7DCD" w:rsidR="007431A6">
        <w:t xml:space="preserve"> strategic objectives of universities and </w:t>
      </w:r>
      <w:r w:rsidRPr="004A7DCD" w:rsidR="00057F58">
        <w:t xml:space="preserve">those of </w:t>
      </w:r>
      <w:r w:rsidRPr="004A7DCD" w:rsidR="007431A6">
        <w:t>public authorities;</w:t>
      </w:r>
    </w:p>
    <w:p w:rsidRPr="0068669A" w:rsidR="00E62AE7" w:rsidP="0068669A" w:rsidRDefault="00E62AE7" w14:paraId="007C1515" w14:textId="77777777"/>
    <w:p w:rsidRPr="004A7DCD" w:rsidR="007431A6" w:rsidP="007431A6" w:rsidRDefault="00057F58" w14:paraId="0DE7E3DF" w14:textId="73CED375">
      <w:pPr>
        <w:pStyle w:val="Heading1"/>
        <w:ind w:left="567" w:hanging="567"/>
      </w:pPr>
      <w:r w:rsidRPr="004A7DCD">
        <w:t xml:space="preserve">notes </w:t>
      </w:r>
      <w:r w:rsidRPr="004A7DCD" w:rsidR="007431A6">
        <w:t xml:space="preserve">that partnerships between private firms (interested in R&amp;D), local authorities and universities are important engines </w:t>
      </w:r>
      <w:r w:rsidRPr="004A7DCD">
        <w:t xml:space="preserve">of </w:t>
      </w:r>
      <w:r w:rsidRPr="004A7DCD" w:rsidR="007431A6">
        <w:t xml:space="preserve">local growth and development which should be </w:t>
      </w:r>
      <w:r w:rsidRPr="004A7DCD">
        <w:t xml:space="preserve">included in </w:t>
      </w:r>
      <w:r w:rsidRPr="004A7DCD" w:rsidR="007431A6">
        <w:t>the current Commission's objective of making it easier fo</w:t>
      </w:r>
      <w:r w:rsidRPr="004A7DCD">
        <w:t>r</w:t>
      </w:r>
      <w:r w:rsidRPr="00473A4A" w:rsidR="007431A6">
        <w:t xml:space="preserve"> </w:t>
      </w:r>
      <w:r w:rsidRPr="004A7DCD" w:rsidR="007431A6">
        <w:t>small businesses to become large innovators through a</w:t>
      </w:r>
      <w:r w:rsidRPr="004A7DCD">
        <w:t>n</w:t>
      </w:r>
      <w:r w:rsidRPr="004A7DCD" w:rsidR="007431A6">
        <w:t xml:space="preserve"> SMEs </w:t>
      </w:r>
      <w:r w:rsidRPr="004A7DCD">
        <w:t>s</w:t>
      </w:r>
      <w:r w:rsidRPr="004A7DCD" w:rsidR="007431A6">
        <w:t>trategy;</w:t>
      </w:r>
    </w:p>
    <w:p w:rsidRPr="004A7DCD" w:rsidR="007431A6" w:rsidP="007431A6" w:rsidRDefault="007431A6" w14:paraId="141DA766" w14:textId="77777777"/>
    <w:p w:rsidRPr="004A7DCD" w:rsidR="00E94EB3" w:rsidP="007431A6" w:rsidRDefault="00E94EB3" w14:paraId="1BE5BD3C" w14:textId="6DEAD64E">
      <w:pPr>
        <w:pStyle w:val="Heading1"/>
        <w:ind w:left="567" w:hanging="567"/>
      </w:pPr>
      <w:r w:rsidRPr="004A7DCD">
        <w:rPr>
          <w:bCs/>
          <w:iCs/>
        </w:rPr>
        <w:t>is concerned at the risk of inequalities growing between cities and regions that benefit hugely from the framework programme for research and innovation and warns of the inadequacy of the steps taken to close the gaps between regions in order to address the challenges, including the demographic challenge, and to promote access for all to Horizon Europe</w:t>
      </w:r>
      <w:r w:rsidRPr="004A7DCD">
        <w:rPr>
          <w:rStyle w:val="FootnoteReference"/>
          <w:bCs/>
          <w:iCs/>
        </w:rPr>
        <w:footnoteReference w:id="7"/>
      </w:r>
      <w:r w:rsidRPr="004A7DCD" w:rsidR="00F7144E">
        <w:rPr>
          <w:bCs/>
          <w:iCs/>
        </w:rPr>
        <w:t>;</w:t>
      </w:r>
    </w:p>
    <w:p w:rsidRPr="004A7DCD" w:rsidR="00E94EB3" w:rsidP="0068669A" w:rsidRDefault="00E94EB3" w14:paraId="544F27FE" w14:textId="77777777">
      <w:pPr>
        <w:pStyle w:val="Heading1"/>
        <w:numPr>
          <w:ilvl w:val="0"/>
          <w:numId w:val="0"/>
        </w:numPr>
        <w:ind w:left="567"/>
      </w:pPr>
    </w:p>
    <w:p w:rsidRPr="004A7DCD" w:rsidR="007431A6" w:rsidP="007431A6" w:rsidRDefault="00057F58" w14:paraId="50ABAF2C" w14:textId="175F5452">
      <w:pPr>
        <w:pStyle w:val="Heading1"/>
        <w:ind w:left="567" w:hanging="567"/>
      </w:pPr>
      <w:r w:rsidRPr="004A7DCD">
        <w:t xml:space="preserve">would </w:t>
      </w:r>
      <w:r w:rsidRPr="004A7DCD" w:rsidR="007431A6">
        <w:t xml:space="preserve">argue that digital connectivity and smart specialisation can have positive effects </w:t>
      </w:r>
      <w:r w:rsidRPr="004A7DCD">
        <w:t xml:space="preserve">when it comes to </w:t>
      </w:r>
      <w:r w:rsidRPr="004A7DCD" w:rsidR="007431A6">
        <w:t>brain drain. Regional strategies in smart development and specialisation can focus on the competitive advantage existing or created in one region</w:t>
      </w:r>
      <w:r w:rsidRPr="004A7DCD" w:rsidR="005D40B6">
        <w:t>.</w:t>
      </w:r>
      <w:r w:rsidRPr="004A7DCD" w:rsidR="00F7144E">
        <w:t xml:space="preserve"> </w:t>
      </w:r>
      <w:r w:rsidRPr="004A7DCD" w:rsidR="007431A6">
        <w:t>Digital connectivity and development of digital literacy should be essential elements in the new Commission</w:t>
      </w:r>
      <w:r w:rsidRPr="004A7DCD">
        <w:t>'</w:t>
      </w:r>
      <w:r w:rsidRPr="004A7DCD" w:rsidR="007431A6">
        <w:t xml:space="preserve">s efforts </w:t>
      </w:r>
      <w:r w:rsidRPr="004A7DCD">
        <w:t xml:space="preserve">to </w:t>
      </w:r>
      <w:r w:rsidRPr="004A7DCD" w:rsidR="007431A6">
        <w:t>updat</w:t>
      </w:r>
      <w:r w:rsidRPr="004A7DCD">
        <w:t>e</w:t>
      </w:r>
      <w:r w:rsidRPr="004A7DCD" w:rsidR="007431A6">
        <w:t xml:space="preserve"> the Digital Education Action Plan;</w:t>
      </w:r>
    </w:p>
    <w:p w:rsidRPr="004A7DCD" w:rsidR="007431A6" w:rsidP="007431A6" w:rsidRDefault="007431A6" w14:paraId="656C10E3" w14:textId="77777777"/>
    <w:p w:rsidRPr="004A7DCD" w:rsidR="007431A6" w:rsidP="007431A6" w:rsidRDefault="00057F58" w14:paraId="7DD0AF80" w14:textId="6412471C">
      <w:pPr>
        <w:pStyle w:val="Heading1"/>
        <w:ind w:left="567" w:hanging="567"/>
      </w:pPr>
      <w:r w:rsidRPr="004A7DCD">
        <w:t xml:space="preserve">points out </w:t>
      </w:r>
      <w:r w:rsidRPr="004A7DCD" w:rsidR="007431A6">
        <w:t xml:space="preserve">that local authorities can design and implement a large number of measures </w:t>
      </w:r>
      <w:r w:rsidRPr="004A7DCD">
        <w:t xml:space="preserve">to </w:t>
      </w:r>
      <w:r w:rsidRPr="004A7DCD" w:rsidR="007431A6">
        <w:t>increas</w:t>
      </w:r>
      <w:r w:rsidRPr="004A7DCD">
        <w:t>e</w:t>
      </w:r>
      <w:r w:rsidRPr="004A7DCD" w:rsidR="007431A6">
        <w:t xml:space="preserve"> and develop the individual resilience of </w:t>
      </w:r>
      <w:r w:rsidRPr="004A7DCD">
        <w:t>communities</w:t>
      </w:r>
      <w:r w:rsidRPr="004A7DCD" w:rsidR="007431A6">
        <w:t xml:space="preserve">, especially when faced with economic hardships such as unemployment. Individual resilience and </w:t>
      </w:r>
      <w:r w:rsidRPr="004A7DCD">
        <w:t xml:space="preserve">the </w:t>
      </w:r>
      <w:r w:rsidRPr="004A7DCD" w:rsidR="007431A6">
        <w:t>capacity to adapt and overcome periods of hardship can be supported through</w:t>
      </w:r>
      <w:r w:rsidRPr="004A7DCD" w:rsidR="00221A15">
        <w:t xml:space="preserve"> upskilling and</w:t>
      </w:r>
      <w:r w:rsidRPr="004A7DCD" w:rsidR="007431A6">
        <w:t xml:space="preserve"> </w:t>
      </w:r>
      <w:r w:rsidRPr="004A7DCD">
        <w:t xml:space="preserve">re-skilling </w:t>
      </w:r>
      <w:r w:rsidRPr="004A7DCD" w:rsidR="007431A6">
        <w:t>program</w:t>
      </w:r>
      <w:r w:rsidRPr="004A7DCD">
        <w:t>me</w:t>
      </w:r>
      <w:r w:rsidRPr="004A7DCD" w:rsidR="007431A6">
        <w:t>s</w:t>
      </w:r>
      <w:r w:rsidRPr="004A7DCD" w:rsidR="00221A15">
        <w:t xml:space="preserve"> </w:t>
      </w:r>
      <w:r w:rsidRPr="004A7DCD" w:rsidR="00221A15">
        <w:rPr>
          <w:bCs/>
          <w:iCs/>
        </w:rPr>
        <w:t>such as those supported through the EU Skills Agenda</w:t>
      </w:r>
      <w:r w:rsidRPr="004A7DCD" w:rsidR="007431A6">
        <w:t xml:space="preserve">, measures </w:t>
      </w:r>
      <w:r w:rsidRPr="004A7DCD">
        <w:t xml:space="preserve">to </w:t>
      </w:r>
      <w:r w:rsidRPr="004A7DCD" w:rsidR="007431A6">
        <w:t>promot</w:t>
      </w:r>
      <w:r w:rsidRPr="004A7DCD">
        <w:t>e</w:t>
      </w:r>
      <w:r w:rsidRPr="004A7DCD" w:rsidR="007431A6">
        <w:t xml:space="preserve"> entrepreneurship and small businesses, educational and community program</w:t>
      </w:r>
      <w:r w:rsidRPr="004A7DCD">
        <w:t>me</w:t>
      </w:r>
      <w:r w:rsidRPr="004A7DCD" w:rsidR="007431A6">
        <w:t xml:space="preserve">s for students and </w:t>
      </w:r>
      <w:r w:rsidRPr="004A7DCD" w:rsidR="00F015FC">
        <w:t xml:space="preserve">young people </w:t>
      </w:r>
      <w:r w:rsidRPr="004A7DCD" w:rsidR="007431A6">
        <w:t xml:space="preserve">whose parents </w:t>
      </w:r>
      <w:r w:rsidRPr="004A7DCD" w:rsidR="00F015FC">
        <w:t xml:space="preserve">are </w:t>
      </w:r>
      <w:r w:rsidRPr="004A7DCD" w:rsidR="007431A6">
        <w:t>work</w:t>
      </w:r>
      <w:r w:rsidRPr="004A7DCD" w:rsidR="00F015FC">
        <w:t>ing</w:t>
      </w:r>
      <w:r w:rsidRPr="004A7DCD" w:rsidR="007431A6">
        <w:t xml:space="preserve"> abroad, etc.;</w:t>
      </w:r>
    </w:p>
    <w:p w:rsidRPr="004A7DCD" w:rsidR="007431A6" w:rsidP="007431A6" w:rsidRDefault="007431A6" w14:paraId="49E9B5F0" w14:textId="77777777"/>
    <w:p w:rsidR="00711E44" w:rsidP="00473A4A" w:rsidRDefault="00F015FC" w14:paraId="5F3D4303" w14:textId="77777777">
      <w:pPr>
        <w:pStyle w:val="Heading1"/>
        <w:ind w:left="567" w:hanging="567"/>
      </w:pPr>
      <w:r w:rsidRPr="004A7DCD">
        <w:t xml:space="preserve">recommends </w:t>
      </w:r>
      <w:r w:rsidRPr="004A7DCD" w:rsidR="007431A6">
        <w:t xml:space="preserve">that the </w:t>
      </w:r>
      <w:r w:rsidRPr="0068669A" w:rsidR="007431A6">
        <w:t>European Commission actively support</w:t>
      </w:r>
      <w:r w:rsidRPr="0068669A">
        <w:t xml:space="preserve"> –</w:t>
      </w:r>
      <w:r w:rsidRPr="0068669A" w:rsidR="007431A6">
        <w:t xml:space="preserve"> in </w:t>
      </w:r>
      <w:r w:rsidRPr="0068669A">
        <w:t xml:space="preserve">close </w:t>
      </w:r>
      <w:r w:rsidRPr="0068669A" w:rsidR="007431A6">
        <w:t xml:space="preserve">cooperation with </w:t>
      </w:r>
      <w:r w:rsidRPr="0068669A">
        <w:t>t</w:t>
      </w:r>
      <w:r w:rsidRPr="0068669A" w:rsidR="007431A6">
        <w:t xml:space="preserve">he European Committee of the Regions, the European Parliament and the </w:t>
      </w:r>
      <w:r w:rsidRPr="0068669A" w:rsidR="00863637">
        <w:t xml:space="preserve">EU </w:t>
      </w:r>
      <w:r w:rsidRPr="0068669A" w:rsidR="002E6A4E">
        <w:t xml:space="preserve">Council of Ministers </w:t>
      </w:r>
      <w:r w:rsidRPr="0068669A">
        <w:t>–</w:t>
      </w:r>
      <w:r w:rsidRPr="0068669A" w:rsidR="007431A6">
        <w:t xml:space="preserve"> the </w:t>
      </w:r>
      <w:r w:rsidRPr="0068669A" w:rsidR="00863637">
        <w:t xml:space="preserve">efforts </w:t>
      </w:r>
      <w:r w:rsidRPr="0068669A" w:rsidR="007431A6">
        <w:t>of local and regional public bodies in addressing brain drain</w:t>
      </w:r>
      <w:r w:rsidRPr="004A7DCD" w:rsidR="007431A6">
        <w:t>.</w:t>
      </w:r>
      <w:r w:rsidRPr="004A7DCD" w:rsidR="007431A6">
        <w:rPr>
          <w:b/>
        </w:rPr>
        <w:t xml:space="preserve"> </w:t>
      </w:r>
      <w:r w:rsidRPr="004A7DCD" w:rsidR="007431A6">
        <w:t>The Union is a complex political and administrative entity, and careful analysis of its responsibilities and capabilities is needed with respect to brain drain. Discussion of the Union's role will entail both determining its responsibilities and identifying the best tools available at EU level</w:t>
      </w:r>
      <w:r w:rsidR="00711E44">
        <w:t>;</w:t>
      </w:r>
    </w:p>
    <w:p w:rsidR="00711E44" w:rsidP="00473A4A" w:rsidRDefault="00711E44" w14:paraId="5DBE3660" w14:textId="77777777">
      <w:pPr>
        <w:pStyle w:val="Heading1"/>
        <w:numPr>
          <w:ilvl w:val="0"/>
          <w:numId w:val="0"/>
        </w:numPr>
        <w:ind w:left="567"/>
      </w:pPr>
    </w:p>
    <w:p w:rsidRPr="004A7DCD" w:rsidR="000C5B50" w:rsidP="0068669A" w:rsidRDefault="00D07EDC" w14:paraId="25F59C85" w14:textId="5B4EE001">
      <w:pPr>
        <w:pStyle w:val="Heading1"/>
        <w:keepNext/>
        <w:ind w:left="567" w:hanging="567"/>
      </w:pPr>
      <w:r>
        <w:t xml:space="preserve">considers that </w:t>
      </w:r>
      <w:r w:rsidRPr="00711E44" w:rsidR="00711E44">
        <w:rPr>
          <w:bCs/>
          <w:iCs/>
        </w:rPr>
        <w:t>the fact that an "employee is returning to his/her country of origin after a stay abroad" must be considered as an asset within the professional profile, and must, therefore, be visible to employment providers when carrying out the corresponding selection process.</w:t>
      </w:r>
    </w:p>
    <w:p w:rsidRPr="004A7DCD" w:rsidR="000C5B50" w:rsidP="0068669A" w:rsidRDefault="000C5B50" w14:paraId="5A82561C" w14:textId="77777777">
      <w:pPr>
        <w:keepNext/>
      </w:pPr>
    </w:p>
    <w:p w:rsidRPr="00884617" w:rsidR="00041B59" w:rsidP="00041B59" w:rsidRDefault="00444A98" w14:paraId="47AD788F" w14:textId="6BEA5BC6">
      <w:pPr>
        <w:overflowPunct/>
        <w:adjustRightInd/>
        <w:textAlignment w:val="auto"/>
        <w:rPr>
          <w:lang w:val="en-US"/>
        </w:rPr>
      </w:pPr>
      <w:r w:rsidRPr="004A7DCD">
        <w:t xml:space="preserve">Brussels, </w:t>
      </w:r>
      <w:r w:rsidR="001350BC">
        <w:t>12 February 2020</w:t>
      </w:r>
    </w:p>
    <w:p w:rsidRPr="00884617" w:rsidR="00041B59" w:rsidP="00041B59" w:rsidRDefault="00041B59" w14:paraId="64F6DFA3" w14:textId="77777777">
      <w:pPr>
        <w:overflowPunct/>
        <w:adjustRightInd/>
        <w:textAlignment w:val="auto"/>
        <w:rPr>
          <w:lang w:val="en-US"/>
        </w:rPr>
      </w:pPr>
    </w:p>
    <w:tbl>
      <w:tblPr>
        <w:tblW w:w="0" w:type="auto"/>
        <w:tblLayout w:type="fixed"/>
        <w:tblLook w:val="0000" w:firstRow="0" w:lastRow="0" w:firstColumn="0" w:lastColumn="0" w:noHBand="0" w:noVBand="0"/>
      </w:tblPr>
      <w:tblGrid>
        <w:gridCol w:w="4644"/>
        <w:gridCol w:w="4645"/>
      </w:tblGrid>
      <w:tr w:rsidRPr="00884617" w:rsidR="00041B59" w:rsidTr="00391405" w14:paraId="12BACA38" w14:textId="77777777">
        <w:tc>
          <w:tcPr>
            <w:tcW w:w="4644" w:type="dxa"/>
          </w:tcPr>
          <w:p w:rsidRPr="00884617" w:rsidR="00041B59" w:rsidP="00391405" w:rsidRDefault="00041B59" w14:paraId="6DEE5A50" w14:textId="356A9C78">
            <w:pPr>
              <w:overflowPunct/>
              <w:adjustRightInd/>
              <w:jc w:val="center"/>
              <w:textAlignment w:val="auto"/>
              <w:rPr>
                <w:szCs w:val="22"/>
                <w:lang w:val="en-US"/>
              </w:rPr>
            </w:pPr>
            <w:r w:rsidRPr="00884617">
              <w:rPr>
                <w:lang w:val="en-US"/>
              </w:rPr>
              <w:t>The President</w:t>
            </w:r>
            <w:r w:rsidRPr="00884617">
              <w:rPr>
                <w:lang w:val="en-US"/>
              </w:rPr>
              <w:br/>
              <w:t>of the European Committee of the Regions</w:t>
            </w:r>
            <w:r w:rsidRPr="00884617">
              <w:rPr>
                <w:lang w:val="en-US"/>
              </w:rPr>
              <w:br/>
            </w:r>
            <w:r w:rsidRPr="00884617">
              <w:rPr>
                <w:lang w:val="en-US"/>
              </w:rPr>
              <w:br/>
            </w:r>
            <w:r w:rsidRPr="00884617">
              <w:rPr>
                <w:lang w:val="en-US"/>
              </w:rPr>
              <w:br/>
            </w:r>
            <w:r w:rsidRPr="00884617">
              <w:rPr>
                <w:lang w:val="en-US"/>
              </w:rPr>
              <w:br/>
            </w:r>
            <w:r w:rsidRPr="00884617">
              <w:rPr>
                <w:lang w:val="en-US"/>
              </w:rPr>
              <w:br/>
            </w:r>
            <w:r w:rsidRPr="00711E44" w:rsidR="00711E44">
              <w:rPr>
                <w:szCs w:val="22"/>
                <w:lang w:val="en-US"/>
              </w:rPr>
              <w:t>Apostolos Tzitzikostas</w:t>
            </w:r>
          </w:p>
        </w:tc>
        <w:tc>
          <w:tcPr>
            <w:tcW w:w="4645" w:type="dxa"/>
          </w:tcPr>
          <w:p w:rsidRPr="00884617" w:rsidR="00041B59" w:rsidP="00391405" w:rsidRDefault="00041B59" w14:paraId="6C0B90B1" w14:textId="77777777">
            <w:pPr>
              <w:overflowPunct/>
              <w:adjustRightInd/>
              <w:jc w:val="center"/>
              <w:textAlignment w:val="auto"/>
              <w:rPr>
                <w:szCs w:val="22"/>
                <w:lang w:val="en-US"/>
              </w:rPr>
            </w:pPr>
          </w:p>
        </w:tc>
      </w:tr>
      <w:tr w:rsidRPr="00884617" w:rsidR="00041B59" w:rsidTr="00391405" w14:paraId="551E3CC1" w14:textId="77777777">
        <w:tc>
          <w:tcPr>
            <w:tcW w:w="4644" w:type="dxa"/>
          </w:tcPr>
          <w:p w:rsidRPr="00884617" w:rsidR="00041B59" w:rsidP="00391405" w:rsidRDefault="00041B59" w14:paraId="22EC79D2" w14:textId="77777777">
            <w:pPr>
              <w:overflowPunct/>
              <w:adjustRightInd/>
              <w:jc w:val="center"/>
              <w:textAlignment w:val="auto"/>
              <w:rPr>
                <w:szCs w:val="22"/>
                <w:lang w:val="en-US"/>
              </w:rPr>
            </w:pPr>
          </w:p>
        </w:tc>
        <w:tc>
          <w:tcPr>
            <w:tcW w:w="4645" w:type="dxa"/>
          </w:tcPr>
          <w:p w:rsidRPr="00473A4A" w:rsidR="00041B59" w:rsidRDefault="00041B59" w14:paraId="650A3EF5" w14:textId="0C044381">
            <w:pPr>
              <w:overflowPunct/>
              <w:adjustRightInd/>
              <w:jc w:val="center"/>
              <w:textAlignment w:val="auto"/>
            </w:pPr>
            <w:r w:rsidRPr="00473A4A">
              <w:t>The Secretary-General</w:t>
            </w:r>
            <w:r w:rsidRPr="00473A4A">
              <w:br/>
              <w:t>of the European Committee of the Regions</w:t>
            </w:r>
            <w:r w:rsidRPr="00473A4A">
              <w:br/>
            </w:r>
            <w:r w:rsidRPr="00473A4A">
              <w:br/>
            </w:r>
            <w:r w:rsidRPr="00473A4A">
              <w:br/>
            </w:r>
            <w:r w:rsidRPr="00473A4A">
              <w:br/>
            </w:r>
            <w:r w:rsidRPr="00473A4A">
              <w:br/>
            </w:r>
            <w:r w:rsidRPr="00473A4A" w:rsidR="00711E44">
              <w:t>Petr Blížkovský</w:t>
            </w:r>
          </w:p>
        </w:tc>
      </w:tr>
    </w:tbl>
    <w:p w:rsidRPr="00884617" w:rsidR="00041B59" w:rsidP="00041B59" w:rsidRDefault="00041B59" w14:paraId="040DACB5" w14:textId="77777777">
      <w:pPr>
        <w:overflowPunct/>
        <w:adjustRightInd/>
        <w:textAlignment w:val="auto"/>
        <w:rPr>
          <w:lang w:val="en-US"/>
        </w:rPr>
      </w:pPr>
    </w:p>
    <w:p w:rsidRPr="004A7DCD" w:rsidR="00444A98" w:rsidP="0068669A" w:rsidRDefault="00444A98" w14:paraId="552E4810" w14:textId="77777777">
      <w:pPr>
        <w:keepNext/>
        <w:textAlignment w:val="auto"/>
      </w:pPr>
    </w:p>
    <w:p w:rsidRPr="004A7DCD" w:rsidR="00444A98" w:rsidP="0068669A" w:rsidRDefault="00444A98" w14:paraId="6B8F6A1F" w14:textId="77777777">
      <w:pPr>
        <w:keepNext/>
      </w:pPr>
    </w:p>
    <w:p w:rsidRPr="004A7DCD" w:rsidR="00444A98" w:rsidP="00680676" w:rsidRDefault="00444A98" w14:paraId="77E71F12" w14:textId="77777777">
      <w:pPr>
        <w:numPr>
          <w:ilvl w:val="0"/>
          <w:numId w:val="2"/>
        </w:numPr>
        <w:ind w:left="567" w:hanging="567"/>
        <w:rPr>
          <w:b/>
          <w:bCs/>
        </w:rPr>
      </w:pPr>
      <w:r w:rsidRPr="004A7DCD">
        <w:br w:type="page"/>
      </w:r>
      <w:r w:rsidRPr="004A7DCD">
        <w:rPr>
          <w:b/>
          <w:bCs/>
        </w:rPr>
        <w:t>PROCEDURE</w:t>
      </w:r>
    </w:p>
    <w:p w:rsidRPr="004A7DCD" w:rsidR="00444A98" w:rsidP="003A043C" w:rsidRDefault="00444A98" w14:paraId="789FE075" w14:textId="77777777"/>
    <w:tbl>
      <w:tblPr>
        <w:tblW w:w="9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848"/>
        <w:gridCol w:w="5441"/>
      </w:tblGrid>
      <w:tr w:rsidRPr="004A7DCD" w:rsidR="007431A6" w:rsidTr="0004451B" w14:paraId="74AF2E1C" w14:textId="77777777">
        <w:tc>
          <w:tcPr>
            <w:tcW w:w="3848" w:type="dxa"/>
          </w:tcPr>
          <w:p w:rsidRPr="004A7DCD" w:rsidR="007431A6" w:rsidP="0004451B" w:rsidRDefault="007431A6" w14:paraId="2872F080" w14:textId="77777777">
            <w:pPr>
              <w:jc w:val="left"/>
              <w:rPr>
                <w:b/>
              </w:rPr>
            </w:pPr>
            <w:r w:rsidRPr="004A7DCD">
              <w:rPr>
                <w:b/>
              </w:rPr>
              <w:t>Title</w:t>
            </w:r>
          </w:p>
          <w:p w:rsidRPr="004A7DCD" w:rsidR="007431A6" w:rsidP="0004451B" w:rsidRDefault="007431A6" w14:paraId="5C812C0D" w14:textId="77777777">
            <w:pPr>
              <w:jc w:val="left"/>
            </w:pPr>
          </w:p>
        </w:tc>
        <w:tc>
          <w:tcPr>
            <w:tcW w:w="5441" w:type="dxa"/>
          </w:tcPr>
          <w:p w:rsidRPr="004A7DCD" w:rsidR="007431A6" w:rsidP="0004451B" w:rsidRDefault="007431A6" w14:paraId="6283C87C" w14:textId="77777777">
            <w:r w:rsidRPr="004A7DCD">
              <w:t>Brain Drain in the EU: addressing the challenge at all levels</w:t>
            </w:r>
          </w:p>
        </w:tc>
      </w:tr>
      <w:tr w:rsidRPr="004A7DCD" w:rsidR="007431A6" w:rsidTr="0004451B" w14:paraId="66FC24F7" w14:textId="77777777">
        <w:tc>
          <w:tcPr>
            <w:tcW w:w="3848" w:type="dxa"/>
          </w:tcPr>
          <w:p w:rsidRPr="004A7DCD" w:rsidR="007431A6" w:rsidP="0004451B" w:rsidRDefault="007431A6" w14:paraId="7F88EC0B" w14:textId="77777777">
            <w:pPr>
              <w:jc w:val="left"/>
            </w:pPr>
            <w:r w:rsidRPr="004A7DCD">
              <w:rPr>
                <w:b/>
              </w:rPr>
              <w:t>Reference(s)</w:t>
            </w:r>
          </w:p>
        </w:tc>
        <w:tc>
          <w:tcPr>
            <w:tcW w:w="5441" w:type="dxa"/>
          </w:tcPr>
          <w:p w:rsidRPr="004A7DCD" w:rsidR="007431A6" w:rsidP="0004451B" w:rsidRDefault="007431A6" w14:paraId="42D45636" w14:textId="77777777">
            <w:r w:rsidRPr="004A7DCD">
              <w:t>N/A</w:t>
            </w:r>
          </w:p>
        </w:tc>
      </w:tr>
      <w:tr w:rsidRPr="004A7DCD" w:rsidR="007431A6" w:rsidTr="0004451B" w14:paraId="29E0B493" w14:textId="77777777">
        <w:tc>
          <w:tcPr>
            <w:tcW w:w="3848" w:type="dxa"/>
          </w:tcPr>
          <w:p w:rsidRPr="004A7DCD" w:rsidR="007431A6" w:rsidP="0004451B" w:rsidRDefault="007431A6" w14:paraId="7222FF47" w14:textId="77777777">
            <w:pPr>
              <w:jc w:val="left"/>
            </w:pPr>
            <w:r w:rsidRPr="004A7DCD">
              <w:rPr>
                <w:b/>
              </w:rPr>
              <w:t>Legal basis</w:t>
            </w:r>
          </w:p>
        </w:tc>
        <w:tc>
          <w:tcPr>
            <w:tcW w:w="5441" w:type="dxa"/>
          </w:tcPr>
          <w:p w:rsidRPr="004A7DCD" w:rsidR="007431A6" w:rsidP="0004451B" w:rsidRDefault="007431A6" w14:paraId="43A8480B" w14:textId="77777777">
            <w:r w:rsidRPr="004A7DCD">
              <w:t>Article 304 TFEU</w:t>
            </w:r>
          </w:p>
        </w:tc>
      </w:tr>
      <w:tr w:rsidRPr="004A7DCD" w:rsidR="007431A6" w:rsidTr="0004451B" w14:paraId="38BEF540" w14:textId="77777777">
        <w:tc>
          <w:tcPr>
            <w:tcW w:w="3848" w:type="dxa"/>
          </w:tcPr>
          <w:p w:rsidRPr="004A7DCD" w:rsidR="007431A6" w:rsidP="0004451B" w:rsidRDefault="007431A6" w14:paraId="2C7C386E" w14:textId="77777777">
            <w:pPr>
              <w:jc w:val="left"/>
            </w:pPr>
            <w:r w:rsidRPr="004A7DCD">
              <w:rPr>
                <w:b/>
              </w:rPr>
              <w:t>Procedural basis</w:t>
            </w:r>
          </w:p>
        </w:tc>
        <w:tc>
          <w:tcPr>
            <w:tcW w:w="5441" w:type="dxa"/>
          </w:tcPr>
          <w:p w:rsidRPr="004A7DCD" w:rsidR="007431A6" w:rsidP="00863637" w:rsidRDefault="007431A6" w14:paraId="348DA350" w14:textId="49D4D662">
            <w:r w:rsidRPr="004A7DCD">
              <w:rPr>
                <w:sz w:val="23"/>
                <w:szCs w:val="23"/>
              </w:rPr>
              <w:t>Own-initiative opinion (Rule 41</w:t>
            </w:r>
            <w:r w:rsidRPr="004A7DCD" w:rsidR="002E6A4E">
              <w:rPr>
                <w:sz w:val="23"/>
                <w:szCs w:val="23"/>
              </w:rPr>
              <w:t>(</w:t>
            </w:r>
            <w:r w:rsidRPr="004A7DCD">
              <w:rPr>
                <w:sz w:val="23"/>
                <w:szCs w:val="23"/>
              </w:rPr>
              <w:t>b)</w:t>
            </w:r>
            <w:r w:rsidRPr="004A7DCD" w:rsidR="002E6A4E">
              <w:rPr>
                <w:sz w:val="23"/>
                <w:szCs w:val="23"/>
              </w:rPr>
              <w:t>(</w:t>
            </w:r>
            <w:r w:rsidRPr="004A7DCD">
              <w:rPr>
                <w:sz w:val="23"/>
                <w:szCs w:val="23"/>
              </w:rPr>
              <w:t>ii) RoP)</w:t>
            </w:r>
          </w:p>
        </w:tc>
      </w:tr>
      <w:tr w:rsidRPr="004A7DCD" w:rsidR="007431A6" w:rsidTr="0004451B" w14:paraId="4116E667" w14:textId="77777777">
        <w:tc>
          <w:tcPr>
            <w:tcW w:w="3848" w:type="dxa"/>
          </w:tcPr>
          <w:p w:rsidRPr="004A7DCD" w:rsidR="007431A6" w:rsidP="0004451B" w:rsidRDefault="007431A6" w14:paraId="10D37324" w14:textId="77777777">
            <w:pPr>
              <w:jc w:val="left"/>
            </w:pPr>
            <w:r w:rsidRPr="004A7DCD">
              <w:rPr>
                <w:b/>
              </w:rPr>
              <w:t>Date of Council/EP referral/Date of Commission letter</w:t>
            </w:r>
          </w:p>
        </w:tc>
        <w:tc>
          <w:tcPr>
            <w:tcW w:w="5441" w:type="dxa"/>
          </w:tcPr>
          <w:p w:rsidRPr="004A7DCD" w:rsidR="007431A6" w:rsidP="0004451B" w:rsidRDefault="007431A6" w14:paraId="1AF4EC38" w14:textId="77777777">
            <w:r w:rsidRPr="004A7DCD">
              <w:t>N/A</w:t>
            </w:r>
          </w:p>
        </w:tc>
      </w:tr>
      <w:tr w:rsidRPr="004A7DCD" w:rsidR="007431A6" w:rsidTr="0004451B" w14:paraId="111F20FE" w14:textId="77777777">
        <w:tc>
          <w:tcPr>
            <w:tcW w:w="3848" w:type="dxa"/>
          </w:tcPr>
          <w:p w:rsidRPr="004A7DCD" w:rsidR="007431A6" w:rsidP="0004451B" w:rsidRDefault="007431A6" w14:paraId="2691D0E4" w14:textId="77777777">
            <w:pPr>
              <w:jc w:val="left"/>
            </w:pPr>
            <w:r w:rsidRPr="004A7DCD">
              <w:rPr>
                <w:b/>
              </w:rPr>
              <w:t>Date of Bureau/President's decision</w:t>
            </w:r>
          </w:p>
        </w:tc>
        <w:tc>
          <w:tcPr>
            <w:tcW w:w="5441" w:type="dxa"/>
          </w:tcPr>
          <w:p w:rsidRPr="004A7DCD" w:rsidR="007431A6" w:rsidP="0004451B" w:rsidRDefault="007431A6" w14:paraId="43077BA4" w14:textId="77777777">
            <w:r w:rsidRPr="004A7DCD">
              <w:t>25 June 2019</w:t>
            </w:r>
          </w:p>
        </w:tc>
      </w:tr>
      <w:tr w:rsidRPr="004A7DCD" w:rsidR="007431A6" w:rsidTr="0004451B" w14:paraId="335C7E36" w14:textId="77777777">
        <w:tc>
          <w:tcPr>
            <w:tcW w:w="3848" w:type="dxa"/>
          </w:tcPr>
          <w:p w:rsidRPr="004A7DCD" w:rsidR="007431A6" w:rsidP="0004451B" w:rsidRDefault="007431A6" w14:paraId="72415EA7" w14:textId="77777777">
            <w:pPr>
              <w:jc w:val="left"/>
            </w:pPr>
            <w:r w:rsidRPr="004A7DCD">
              <w:rPr>
                <w:b/>
              </w:rPr>
              <w:t>Commission responsible</w:t>
            </w:r>
          </w:p>
        </w:tc>
        <w:tc>
          <w:tcPr>
            <w:tcW w:w="5441" w:type="dxa"/>
          </w:tcPr>
          <w:p w:rsidRPr="004A7DCD" w:rsidR="007431A6" w:rsidP="0004451B" w:rsidRDefault="007431A6" w14:paraId="50D91737" w14:textId="77777777">
            <w:r w:rsidRPr="004A7DCD">
              <w:t>Commission for Social Policy, Education, Employment, Research and Culture (SEDEC)</w:t>
            </w:r>
          </w:p>
        </w:tc>
      </w:tr>
      <w:tr w:rsidRPr="004A7DCD" w:rsidR="007431A6" w:rsidTr="0004451B" w14:paraId="0115289A" w14:textId="77777777">
        <w:tc>
          <w:tcPr>
            <w:tcW w:w="3848" w:type="dxa"/>
          </w:tcPr>
          <w:p w:rsidRPr="004A7DCD" w:rsidR="007431A6" w:rsidP="0004451B" w:rsidRDefault="007431A6" w14:paraId="7E62A04D" w14:textId="77777777">
            <w:pPr>
              <w:jc w:val="left"/>
            </w:pPr>
            <w:r w:rsidRPr="004A7DCD">
              <w:rPr>
                <w:b/>
              </w:rPr>
              <w:t>Rapporteur</w:t>
            </w:r>
          </w:p>
        </w:tc>
        <w:tc>
          <w:tcPr>
            <w:tcW w:w="5441" w:type="dxa"/>
          </w:tcPr>
          <w:p w:rsidRPr="004A7DCD" w:rsidR="007431A6" w:rsidP="0004451B" w:rsidRDefault="007431A6" w14:paraId="28AC9D24" w14:textId="77777777">
            <w:r w:rsidRPr="004A7DCD">
              <w:t>Emil BOC (RO/EPP)</w:t>
            </w:r>
          </w:p>
        </w:tc>
      </w:tr>
      <w:tr w:rsidRPr="004A7DCD" w:rsidR="007431A6" w:rsidTr="0004451B" w14:paraId="63DD51EF" w14:textId="77777777">
        <w:tc>
          <w:tcPr>
            <w:tcW w:w="3848" w:type="dxa"/>
          </w:tcPr>
          <w:p w:rsidRPr="004A7DCD" w:rsidR="007431A6" w:rsidP="0004451B" w:rsidRDefault="007431A6" w14:paraId="23C34A1A" w14:textId="77777777">
            <w:pPr>
              <w:jc w:val="left"/>
            </w:pPr>
            <w:r w:rsidRPr="004A7DCD">
              <w:rPr>
                <w:b/>
              </w:rPr>
              <w:t>Analysis</w:t>
            </w:r>
          </w:p>
        </w:tc>
        <w:tc>
          <w:tcPr>
            <w:tcW w:w="5441" w:type="dxa"/>
          </w:tcPr>
          <w:p w:rsidRPr="004A7DCD" w:rsidR="007431A6" w:rsidP="0004451B" w:rsidRDefault="007431A6" w14:paraId="15FE9D18" w14:textId="77777777">
            <w:r w:rsidRPr="004A7DCD">
              <w:t>August 2019</w:t>
            </w:r>
          </w:p>
        </w:tc>
      </w:tr>
      <w:tr w:rsidRPr="004A7DCD" w:rsidR="007431A6" w:rsidTr="0004451B" w14:paraId="74CEC4B0" w14:textId="77777777">
        <w:tc>
          <w:tcPr>
            <w:tcW w:w="3848" w:type="dxa"/>
          </w:tcPr>
          <w:p w:rsidRPr="004A7DCD" w:rsidR="007431A6" w:rsidP="0004451B" w:rsidRDefault="007431A6" w14:paraId="3C9D2676" w14:textId="77777777">
            <w:pPr>
              <w:jc w:val="left"/>
            </w:pPr>
            <w:r w:rsidRPr="004A7DCD">
              <w:rPr>
                <w:b/>
              </w:rPr>
              <w:t>Discussion in commission</w:t>
            </w:r>
          </w:p>
        </w:tc>
        <w:tc>
          <w:tcPr>
            <w:tcW w:w="5441" w:type="dxa"/>
          </w:tcPr>
          <w:p w:rsidRPr="004A7DCD" w:rsidR="007431A6" w:rsidP="0004451B" w:rsidRDefault="007431A6" w14:paraId="73D95CEC" w14:textId="3F328A7B">
            <w:r w:rsidRPr="004A7DCD">
              <w:t xml:space="preserve">27 November 2019 </w:t>
            </w:r>
          </w:p>
        </w:tc>
      </w:tr>
      <w:tr w:rsidRPr="004A7DCD" w:rsidR="007431A6" w:rsidTr="0004451B" w14:paraId="643608DA" w14:textId="77777777">
        <w:tc>
          <w:tcPr>
            <w:tcW w:w="3848" w:type="dxa"/>
          </w:tcPr>
          <w:p w:rsidRPr="004A7DCD" w:rsidR="007431A6" w:rsidP="0004451B" w:rsidRDefault="007431A6" w14:paraId="3B5C96FD" w14:textId="77777777">
            <w:pPr>
              <w:jc w:val="left"/>
            </w:pPr>
            <w:r w:rsidRPr="004A7DCD">
              <w:rPr>
                <w:b/>
              </w:rPr>
              <w:t>Date adopted by commission</w:t>
            </w:r>
          </w:p>
        </w:tc>
        <w:tc>
          <w:tcPr>
            <w:tcW w:w="5441" w:type="dxa"/>
          </w:tcPr>
          <w:p w:rsidRPr="004A7DCD" w:rsidR="007431A6" w:rsidP="0004451B" w:rsidRDefault="007431A6" w14:paraId="6A1935E9" w14:textId="10F76F79">
            <w:r w:rsidRPr="004A7DCD">
              <w:t xml:space="preserve">27 November 2019 </w:t>
            </w:r>
          </w:p>
        </w:tc>
      </w:tr>
      <w:tr w:rsidRPr="004A7DCD" w:rsidR="007431A6" w:rsidTr="0004451B" w14:paraId="69225025" w14:textId="77777777">
        <w:tc>
          <w:tcPr>
            <w:tcW w:w="3848" w:type="dxa"/>
          </w:tcPr>
          <w:p w:rsidRPr="004A7DCD" w:rsidR="007431A6" w:rsidP="0004451B" w:rsidRDefault="007431A6" w14:paraId="07FE91E7" w14:textId="77777777">
            <w:pPr>
              <w:jc w:val="left"/>
            </w:pPr>
            <w:r w:rsidRPr="004A7DCD">
              <w:rPr>
                <w:b/>
              </w:rPr>
              <w:t>Result of the vote in commission (majority, unanimity)</w:t>
            </w:r>
          </w:p>
        </w:tc>
        <w:tc>
          <w:tcPr>
            <w:tcW w:w="5441" w:type="dxa"/>
          </w:tcPr>
          <w:p w:rsidRPr="004A7DCD" w:rsidR="007431A6" w:rsidRDefault="005D4683" w14:paraId="4C300450" w14:textId="7BF479AD">
            <w:r w:rsidRPr="004A7DCD">
              <w:t>Unanim</w:t>
            </w:r>
            <w:r w:rsidR="00721875">
              <w:t>ous</w:t>
            </w:r>
          </w:p>
        </w:tc>
      </w:tr>
      <w:tr w:rsidRPr="004A7DCD" w:rsidR="007431A6" w:rsidTr="0004451B" w14:paraId="25A0184F" w14:textId="77777777">
        <w:tc>
          <w:tcPr>
            <w:tcW w:w="3848" w:type="dxa"/>
          </w:tcPr>
          <w:p w:rsidRPr="004A7DCD" w:rsidR="007431A6" w:rsidP="0004451B" w:rsidRDefault="007431A6" w14:paraId="64698889" w14:textId="77777777">
            <w:pPr>
              <w:jc w:val="left"/>
            </w:pPr>
            <w:r w:rsidRPr="004A7DCD">
              <w:rPr>
                <w:b/>
              </w:rPr>
              <w:t>Date adopted in plenary</w:t>
            </w:r>
          </w:p>
        </w:tc>
        <w:tc>
          <w:tcPr>
            <w:tcW w:w="5441" w:type="dxa"/>
          </w:tcPr>
          <w:p w:rsidRPr="004A7DCD" w:rsidR="007431A6" w:rsidP="0004451B" w:rsidRDefault="007431A6" w14:paraId="3FA7DB97" w14:textId="495241A2">
            <w:r w:rsidRPr="004A7DCD">
              <w:t>1</w:t>
            </w:r>
            <w:r w:rsidRPr="004A7DCD" w:rsidR="00611D07">
              <w:t>2</w:t>
            </w:r>
            <w:r w:rsidRPr="004A7DCD">
              <w:t xml:space="preserve"> February 2020</w:t>
            </w:r>
          </w:p>
        </w:tc>
      </w:tr>
      <w:tr w:rsidRPr="004A7DCD" w:rsidR="007431A6" w:rsidTr="0004451B" w14:paraId="2358FC1E" w14:textId="77777777">
        <w:tc>
          <w:tcPr>
            <w:tcW w:w="3848" w:type="dxa"/>
          </w:tcPr>
          <w:p w:rsidRPr="004A7DCD" w:rsidR="007431A6" w:rsidP="0004451B" w:rsidRDefault="007431A6" w14:paraId="09D14A1F" w14:textId="77777777">
            <w:pPr>
              <w:jc w:val="left"/>
            </w:pPr>
            <w:r w:rsidRPr="004A7DCD">
              <w:rPr>
                <w:b/>
              </w:rPr>
              <w:t>Previous Committee opinions</w:t>
            </w:r>
          </w:p>
        </w:tc>
        <w:tc>
          <w:tcPr>
            <w:tcW w:w="5441" w:type="dxa"/>
          </w:tcPr>
          <w:p w:rsidRPr="004A7DCD" w:rsidR="007431A6" w:rsidP="007431A6" w:rsidRDefault="007431A6" w14:paraId="3D153C50" w14:textId="77777777">
            <w:r w:rsidRPr="004A7DCD">
              <w:t>Strengthening STE(A)M education in the EU</w:t>
            </w:r>
            <w:r w:rsidRPr="004A7DCD">
              <w:rPr>
                <w:sz w:val="24"/>
                <w:szCs w:val="24"/>
                <w:vertAlign w:val="superscript"/>
              </w:rPr>
              <w:footnoteReference w:id="8"/>
            </w:r>
          </w:p>
          <w:p w:rsidRPr="004A7DCD" w:rsidR="007431A6" w:rsidP="007431A6" w:rsidRDefault="007431A6" w14:paraId="72B7939D" w14:textId="77777777">
            <w:r w:rsidRPr="004A7DCD">
              <w:t>Erasmus</w:t>
            </w:r>
            <w:r w:rsidRPr="004A7DCD">
              <w:rPr>
                <w:sz w:val="24"/>
                <w:szCs w:val="24"/>
                <w:vertAlign w:val="superscript"/>
              </w:rPr>
              <w:footnoteReference w:id="9"/>
            </w:r>
          </w:p>
          <w:p w:rsidRPr="004A7DCD" w:rsidR="007431A6" w:rsidP="007431A6" w:rsidRDefault="007431A6" w14:paraId="07A6E3FA" w14:textId="77777777">
            <w:r w:rsidRPr="004A7DCD">
              <w:t>Building a Stronger Europe: the role of youth, education and culture policies</w:t>
            </w:r>
            <w:r w:rsidRPr="004A7DCD">
              <w:rPr>
                <w:sz w:val="24"/>
                <w:szCs w:val="24"/>
                <w:vertAlign w:val="superscript"/>
              </w:rPr>
              <w:footnoteReference w:id="10"/>
            </w:r>
          </w:p>
          <w:p w:rsidRPr="004A7DCD" w:rsidR="007431A6" w:rsidP="007431A6" w:rsidRDefault="007431A6" w14:paraId="28849DB4" w14:textId="77777777">
            <w:r w:rsidRPr="004A7DCD">
              <w:t>Strengthening European Identity through Education and Culture</w:t>
            </w:r>
            <w:r w:rsidRPr="004A7DCD">
              <w:rPr>
                <w:sz w:val="24"/>
                <w:szCs w:val="24"/>
                <w:vertAlign w:val="superscript"/>
              </w:rPr>
              <w:footnoteReference w:id="11"/>
            </w:r>
          </w:p>
          <w:p w:rsidRPr="004A7DCD" w:rsidR="007431A6" w:rsidP="007431A6" w:rsidRDefault="007431A6" w14:paraId="02A2B87E" w14:textId="77777777">
            <w:r w:rsidRPr="004A7DCD">
              <w:t>Modernising school and higher education</w:t>
            </w:r>
            <w:r w:rsidRPr="004A7DCD">
              <w:rPr>
                <w:sz w:val="24"/>
                <w:szCs w:val="24"/>
                <w:vertAlign w:val="superscript"/>
              </w:rPr>
              <w:footnoteReference w:id="12"/>
            </w:r>
          </w:p>
          <w:p w:rsidRPr="004A7DCD" w:rsidR="007431A6" w:rsidP="007431A6" w:rsidRDefault="007431A6" w14:paraId="378C72CB" w14:textId="77777777">
            <w:r w:rsidRPr="004A7DCD">
              <w:t>Investing in Europe's youth and the European Solidarity Corps</w:t>
            </w:r>
            <w:r w:rsidRPr="004A7DCD">
              <w:rPr>
                <w:sz w:val="24"/>
                <w:szCs w:val="24"/>
                <w:vertAlign w:val="superscript"/>
              </w:rPr>
              <w:footnoteReference w:id="13"/>
            </w:r>
          </w:p>
          <w:p w:rsidRPr="004A7DCD" w:rsidR="007431A6" w:rsidP="007431A6" w:rsidRDefault="007431A6" w14:paraId="221CB85B" w14:textId="77777777">
            <w:r w:rsidRPr="004A7DCD">
              <w:t>A New Skills Agenda for Europe</w:t>
            </w:r>
            <w:r w:rsidRPr="004A7DCD">
              <w:rPr>
                <w:sz w:val="24"/>
                <w:szCs w:val="24"/>
                <w:vertAlign w:val="superscript"/>
              </w:rPr>
              <w:footnoteReference w:id="14"/>
            </w:r>
          </w:p>
          <w:p w:rsidRPr="004A7DCD" w:rsidR="007431A6" w:rsidP="007431A6" w:rsidRDefault="007431A6" w14:paraId="42D94709" w14:textId="77777777">
            <w:r w:rsidRPr="004A7DCD">
              <w:t>Recognition of skills and competences acquired through non-formal and informal learning</w:t>
            </w:r>
            <w:r w:rsidRPr="004A7DCD">
              <w:rPr>
                <w:sz w:val="24"/>
                <w:szCs w:val="24"/>
                <w:vertAlign w:val="superscript"/>
              </w:rPr>
              <w:footnoteReference w:id="15"/>
            </w:r>
          </w:p>
          <w:p w:rsidRPr="004A7DCD" w:rsidR="007431A6" w:rsidP="007431A6" w:rsidRDefault="007431A6" w14:paraId="24870527" w14:textId="77777777">
            <w:r w:rsidRPr="004A7DCD">
              <w:t>Opening up Education</w:t>
            </w:r>
            <w:r w:rsidRPr="004A7DCD">
              <w:rPr>
                <w:sz w:val="24"/>
                <w:szCs w:val="24"/>
                <w:vertAlign w:val="superscript"/>
              </w:rPr>
              <w:footnoteReference w:id="16"/>
            </w:r>
          </w:p>
          <w:p w:rsidRPr="004A7DCD" w:rsidR="007431A6" w:rsidP="007431A6" w:rsidRDefault="007431A6" w14:paraId="6ADD7DAF" w14:textId="77777777">
            <w:r w:rsidRPr="004A7DCD">
              <w:t>European higher education in the world</w:t>
            </w:r>
            <w:r w:rsidRPr="004A7DCD">
              <w:rPr>
                <w:sz w:val="24"/>
                <w:szCs w:val="24"/>
                <w:vertAlign w:val="superscript"/>
              </w:rPr>
              <w:footnoteReference w:id="17"/>
            </w:r>
          </w:p>
          <w:p w:rsidRPr="004A7DCD" w:rsidR="007431A6" w:rsidP="007431A6" w:rsidRDefault="007431A6" w14:paraId="4E2B9E94" w14:textId="77777777">
            <w:r w:rsidRPr="004A7DCD">
              <w:t>Rethinking Education</w:t>
            </w:r>
            <w:r w:rsidRPr="004A7DCD">
              <w:rPr>
                <w:sz w:val="24"/>
                <w:szCs w:val="24"/>
                <w:vertAlign w:val="superscript"/>
              </w:rPr>
              <w:footnoteReference w:id="18"/>
            </w:r>
          </w:p>
          <w:p w:rsidRPr="004A7DCD" w:rsidR="007431A6" w:rsidP="007431A6" w:rsidRDefault="007431A6" w14:paraId="7A6F8547" w14:textId="77777777">
            <w:r w:rsidRPr="004A7DCD">
              <w:t>Promoting the active citizenship of young people through education</w:t>
            </w:r>
            <w:r w:rsidRPr="004A7DCD">
              <w:rPr>
                <w:sz w:val="24"/>
                <w:szCs w:val="24"/>
                <w:vertAlign w:val="superscript"/>
              </w:rPr>
              <w:footnoteReference w:id="19"/>
            </w:r>
          </w:p>
        </w:tc>
      </w:tr>
      <w:tr w:rsidRPr="004A7DCD" w:rsidR="00B16ED0" w:rsidTr="0004451B" w14:paraId="2932DEDA" w14:textId="77777777">
        <w:tc>
          <w:tcPr>
            <w:tcW w:w="3848" w:type="dxa"/>
          </w:tcPr>
          <w:p w:rsidRPr="004A7DCD" w:rsidR="00B16ED0" w:rsidP="00B16ED0" w:rsidRDefault="00B16ED0" w14:paraId="6A530402" w14:textId="2966027D">
            <w:pPr>
              <w:jc w:val="left"/>
              <w:rPr>
                <w:b/>
              </w:rPr>
            </w:pPr>
            <w:r>
              <w:rPr>
                <w:b/>
                <w:bCs/>
              </w:rPr>
              <w:t>Date of subsidiarity monitoring consultation</w:t>
            </w:r>
          </w:p>
        </w:tc>
        <w:tc>
          <w:tcPr>
            <w:tcW w:w="5441" w:type="dxa"/>
          </w:tcPr>
          <w:p w:rsidRPr="004A7DCD" w:rsidR="00B16ED0" w:rsidP="00B16ED0" w:rsidRDefault="00B16ED0" w14:paraId="0DCDBF5C" w14:textId="497A48E1">
            <w:r>
              <w:t>N/A</w:t>
            </w:r>
          </w:p>
        </w:tc>
      </w:tr>
    </w:tbl>
    <w:p w:rsidRPr="004A7DCD" w:rsidR="007431A6" w:rsidP="003A043C" w:rsidRDefault="007431A6" w14:paraId="27CCC02D" w14:textId="77777777"/>
    <w:p w:rsidRPr="004A7DCD" w:rsidR="00F7144E" w:rsidRDefault="00F7144E" w14:paraId="2D64EFE7" w14:textId="77777777">
      <w:pPr>
        <w:jc w:val="center"/>
      </w:pPr>
      <w:r w:rsidRPr="004A7DCD">
        <w:t>_____________</w:t>
      </w:r>
    </w:p>
    <w:p w:rsidRPr="004A7DCD" w:rsidR="007431A6" w:rsidP="003A043C" w:rsidRDefault="007431A6" w14:paraId="74F53771" w14:textId="411DC03E"/>
    <w:sectPr w:rsidRPr="004A7DCD" w:rsidR="007431A6" w:rsidSect="007A1D0D">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814" w:rsidRDefault="003A4814" w14:paraId="4E147C53" w14:textId="77777777">
      <w:r>
        <w:separator/>
      </w:r>
    </w:p>
  </w:endnote>
  <w:endnote w:type="continuationSeparator" w:id="0">
    <w:p w:rsidR="003A4814" w:rsidRDefault="003A4814" w14:paraId="2885E4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A1D0D" w:rsidR="007A1D0D" w:rsidP="007A1D0D" w:rsidRDefault="007A1D0D" w14:paraId="2944C8CF"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A1D0D" w:rsidR="0004451B" w:rsidP="007A1D0D" w:rsidRDefault="007A1D0D" w14:paraId="61A352DC" w14:textId="6D576023">
    <w:pPr>
      <w:pStyle w:val="Footer"/>
    </w:pPr>
    <w:r>
      <w:t xml:space="preserve">COR-2019-04645-00-00-AC-TRA (EN) </w:t>
    </w:r>
    <w:r>
      <w:fldChar w:fldCharType="begin"/>
    </w:r>
    <w:r>
      <w:instrText xml:space="preserve"> PAGE  \* Arabic  \* MERGEFORMAT </w:instrText>
    </w:r>
    <w:r>
      <w:fldChar w:fldCharType="separate"/>
    </w:r>
    <w:r w:rsidR="00012DA7">
      <w:rPr>
        <w:noProof/>
      </w:rPr>
      <w:t>1</w:t>
    </w:r>
    <w:r>
      <w:fldChar w:fldCharType="end"/>
    </w:r>
    <w:r>
      <w:t>/</w:t>
    </w:r>
    <w:r>
      <w:fldChar w:fldCharType="begin"/>
    </w:r>
    <w:r>
      <w:instrText xml:space="preserve"> NUMPAGES </w:instrText>
    </w:r>
    <w:r>
      <w:fldChar w:fldCharType="separate"/>
    </w:r>
    <w:r w:rsidR="00012DA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A1D0D" w:rsidR="007A1D0D" w:rsidP="007A1D0D" w:rsidRDefault="007A1D0D" w14:paraId="24E5D412" w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A1D0D" w:rsidR="00DF275B" w:rsidP="007A1D0D" w:rsidRDefault="00DF275B" w14:paraId="39AA79E3" w14:textId="777777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A1D0D" w:rsidR="00F7144E" w:rsidP="007A1D0D" w:rsidRDefault="007A1D0D" w14:paraId="5AEBD565" w14:textId="69D09D89">
    <w:pPr>
      <w:pStyle w:val="Footer"/>
    </w:pPr>
    <w:r>
      <w:t xml:space="preserve">COR-2019-04645-00-00-AC-TRA (EN) </w:t>
    </w:r>
    <w:r>
      <w:fldChar w:fldCharType="begin"/>
    </w:r>
    <w:r>
      <w:instrText xml:space="preserve"> PAGE  \* Arabic  \* MERGEFORMAT </w:instrText>
    </w:r>
    <w:r>
      <w:fldChar w:fldCharType="separate"/>
    </w:r>
    <w:r w:rsidR="005369E1">
      <w:rPr>
        <w:noProof/>
      </w:rPr>
      <w:t>9</w:t>
    </w:r>
    <w:r>
      <w:fldChar w:fldCharType="end"/>
    </w:r>
    <w:r>
      <w:t>/</w:t>
    </w:r>
    <w:r>
      <w:fldChar w:fldCharType="begin"/>
    </w:r>
    <w:r>
      <w:instrText xml:space="preserve"> NUMPAGES </w:instrText>
    </w:r>
    <w:r>
      <w:fldChar w:fldCharType="separate"/>
    </w:r>
    <w:r w:rsidR="005369E1">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A1D0D" w:rsidR="00DF275B" w:rsidP="007A1D0D" w:rsidRDefault="00DF275B" w14:paraId="634D332A"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814" w:rsidRDefault="003A4814" w14:paraId="71C4269C" w14:textId="77777777">
      <w:r>
        <w:separator/>
      </w:r>
    </w:p>
  </w:footnote>
  <w:footnote w:type="continuationSeparator" w:id="0">
    <w:p w:rsidR="003A4814" w:rsidRDefault="003A4814" w14:paraId="5614CE67" w14:textId="77777777">
      <w:r>
        <w:continuationSeparator/>
      </w:r>
    </w:p>
  </w:footnote>
  <w:footnote w:id="1">
    <w:p w:rsidRPr="00054C72" w:rsidR="0004451B" w:rsidP="00952E94" w:rsidRDefault="0004451B" w14:paraId="76E95098" w14:textId="43F58C6C">
      <w:pPr>
        <w:pStyle w:val="FootnoteText"/>
        <w:ind w:left="567" w:hanging="567"/>
        <w:rPr>
          <w:rFonts w:eastAsia="Calibri"/>
        </w:rPr>
      </w:pPr>
      <w:r w:rsidRPr="00537DC6">
        <w:rPr>
          <w:sz w:val="24"/>
          <w:szCs w:val="24"/>
          <w:vertAlign w:val="superscript"/>
        </w:rPr>
        <w:footnoteRef/>
      </w:r>
      <w:r w:rsidRPr="00537DC6">
        <w:rPr>
          <w:sz w:val="24"/>
          <w:szCs w:val="24"/>
        </w:rPr>
        <w:t xml:space="preserve"> </w:t>
      </w:r>
      <w:r>
        <w:rPr>
          <w:sz w:val="24"/>
          <w:szCs w:val="24"/>
        </w:rPr>
        <w:tab/>
      </w:r>
      <w:r w:rsidRPr="00537DC6">
        <w:rPr>
          <w:rFonts w:eastAsia="Calibri"/>
        </w:rPr>
        <w:t xml:space="preserve">European Committee of the Regions, 2018, </w:t>
      </w:r>
      <w:hyperlink w:history="1" r:id="rId1">
        <w:r w:rsidRPr="00E729D8">
          <w:rPr>
            <w:rStyle w:val="Hyperlink"/>
            <w:rFonts w:eastAsia="Calibri"/>
            <w:i/>
          </w:rPr>
          <w:t>Addressing brain drain: The local and regional dimension</w:t>
        </w:r>
      </w:hyperlink>
      <w:r w:rsidRPr="00473A4A">
        <w:rPr>
          <w:rFonts w:eastAsia="Calibri"/>
        </w:rPr>
        <w:t>.</w:t>
      </w:r>
      <w:r w:rsidRPr="002115C0">
        <w:rPr>
          <w:rFonts w:eastAsia="Calibri"/>
        </w:rPr>
        <w:t xml:space="preserve"> </w:t>
      </w:r>
    </w:p>
  </w:footnote>
  <w:footnote w:id="2">
    <w:p w:rsidR="0004451B" w:rsidP="00952E94" w:rsidRDefault="0004451B" w14:paraId="6FC5C476" w14:textId="77777777">
      <w:pPr>
        <w:pStyle w:val="FootnoteText"/>
        <w:ind w:left="567" w:hanging="567"/>
      </w:pPr>
      <w:r w:rsidRPr="00537DC6">
        <w:rPr>
          <w:sz w:val="24"/>
          <w:szCs w:val="24"/>
          <w:vertAlign w:val="superscript"/>
        </w:rPr>
        <w:footnoteRef/>
      </w:r>
      <w:r>
        <w:rPr>
          <w:rFonts w:eastAsia="Calibri"/>
        </w:rPr>
        <w:tab/>
      </w:r>
      <w:r w:rsidRPr="00537DC6">
        <w:rPr>
          <w:rFonts w:eastAsia="Calibri"/>
        </w:rPr>
        <w:t>European Commis</w:t>
      </w:r>
      <w:r w:rsidR="00875E7F">
        <w:rPr>
          <w:rFonts w:eastAsia="Calibri"/>
        </w:rPr>
        <w:t>s</w:t>
      </w:r>
      <w:r w:rsidRPr="00537DC6">
        <w:rPr>
          <w:rFonts w:eastAsia="Calibri"/>
        </w:rPr>
        <w:t>ion, Directorate-General for Employment</w:t>
      </w:r>
      <w:r w:rsidR="00897001">
        <w:rPr>
          <w:rFonts w:eastAsia="Calibri"/>
        </w:rPr>
        <w:t>,</w:t>
      </w:r>
      <w:r w:rsidRPr="00537DC6">
        <w:rPr>
          <w:rFonts w:eastAsia="Calibri"/>
        </w:rPr>
        <w:t xml:space="preserve"> Social Affairs and Inclusion</w:t>
      </w:r>
      <w:r>
        <w:rPr>
          <w:rFonts w:eastAsia="Calibri"/>
        </w:rPr>
        <w:t>,</w:t>
      </w:r>
      <w:r w:rsidRPr="00537DC6">
        <w:rPr>
          <w:rFonts w:eastAsia="Calibri"/>
        </w:rPr>
        <w:t xml:space="preserve"> Directorate D </w:t>
      </w:r>
      <w:r>
        <w:rPr>
          <w:rFonts w:eastAsia="Calibri"/>
        </w:rPr>
        <w:t>–</w:t>
      </w:r>
      <w:r w:rsidRPr="00537DC6">
        <w:rPr>
          <w:rFonts w:eastAsia="Calibri"/>
        </w:rPr>
        <w:t xml:space="preserve"> Labour </w:t>
      </w:r>
      <w:r w:rsidR="00897001">
        <w:rPr>
          <w:rFonts w:eastAsia="Calibri"/>
        </w:rPr>
        <w:t>M</w:t>
      </w:r>
      <w:r w:rsidRPr="00537DC6" w:rsidR="00897001">
        <w:rPr>
          <w:rFonts w:eastAsia="Calibri"/>
        </w:rPr>
        <w:t>obility</w:t>
      </w:r>
      <w:r w:rsidRPr="00537DC6">
        <w:rPr>
          <w:rFonts w:eastAsia="Calibri"/>
        </w:rPr>
        <w:t xml:space="preserve">, </w:t>
      </w:r>
      <w:hyperlink w:history="1" r:id="rId2">
        <w:r w:rsidR="006342ED">
          <w:rPr>
            <w:rStyle w:val="Hyperlink"/>
            <w:rFonts w:eastAsia="Calibri"/>
          </w:rPr>
          <w:t xml:space="preserve">2018 </w:t>
        </w:r>
        <w:r w:rsidRPr="00A22637">
          <w:rPr>
            <w:rStyle w:val="Hyperlink"/>
            <w:rFonts w:eastAsia="Calibri"/>
          </w:rPr>
          <w:t>Annual Report on Intra-EU Labour Mobility</w:t>
        </w:r>
      </w:hyperlink>
      <w:r>
        <w:rPr>
          <w:rFonts w:eastAsia="Calibri"/>
        </w:rPr>
        <w:t>.</w:t>
      </w:r>
    </w:p>
  </w:footnote>
  <w:footnote w:id="3">
    <w:p w:rsidR="0004451B" w:rsidP="00952E94" w:rsidRDefault="0004451B" w14:paraId="110EDCC7" w14:textId="77777777">
      <w:pPr>
        <w:pStyle w:val="FootnoteText"/>
        <w:ind w:left="567" w:hanging="567"/>
      </w:pPr>
      <w:r w:rsidRPr="00537DC6">
        <w:rPr>
          <w:sz w:val="24"/>
          <w:szCs w:val="24"/>
          <w:vertAlign w:val="superscript"/>
        </w:rPr>
        <w:footnoteRef/>
      </w:r>
      <w:r>
        <w:t xml:space="preserve"> </w:t>
      </w:r>
      <w:r>
        <w:tab/>
      </w:r>
      <w:r>
        <w:rPr>
          <w:rFonts w:eastAsia="Calibri"/>
        </w:rPr>
        <w:t xml:space="preserve">Atoyan, R., Christiansen, L., Dizioli, A., Ebeke, C., Ilahi, N., Ilyina, A., Mehrez, G., Qu, H., Raei, F., Rhee, A. and Zakharova, D., </w:t>
      </w:r>
      <w:hyperlink w:history="1" r:id="rId3">
        <w:r w:rsidRPr="00A22637">
          <w:rPr>
            <w:rStyle w:val="Hyperlink"/>
            <w:rFonts w:eastAsia="Calibri"/>
          </w:rPr>
          <w:t>Emigration and Its Economic Impact on Eastern Europe</w:t>
        </w:r>
      </w:hyperlink>
      <w:r>
        <w:rPr>
          <w:rFonts w:eastAsia="Calibri"/>
        </w:rPr>
        <w:t>, IMF staff discussion note, July 2016.</w:t>
      </w:r>
      <w:r w:rsidDel="00A22637">
        <w:t xml:space="preserve"> </w:t>
      </w:r>
    </w:p>
  </w:footnote>
  <w:footnote w:id="4">
    <w:p w:rsidR="0004451B" w:rsidP="00952E94" w:rsidRDefault="0004451B" w14:paraId="4D7F4110" w14:textId="5F689652">
      <w:pPr>
        <w:pStyle w:val="FootnoteText"/>
        <w:ind w:left="567" w:hanging="567"/>
      </w:pPr>
      <w:r w:rsidRPr="00EB1DF4">
        <w:rPr>
          <w:sz w:val="24"/>
          <w:szCs w:val="24"/>
          <w:vertAlign w:val="superscript"/>
        </w:rPr>
        <w:footnoteRef/>
      </w:r>
      <w:r w:rsidR="00FF0547">
        <w:tab/>
      </w:r>
      <w:r w:rsidRPr="0068669A" w:rsidR="00FD497F">
        <w:rPr>
          <w:bCs/>
          <w:iCs/>
        </w:rPr>
        <w:t>Ursula von der Leyen, A Union that strives for more. My agenda for Europe</w:t>
      </w:r>
      <w:r w:rsidRPr="00FD497F" w:rsidDel="00FD497F" w:rsidR="00FD497F">
        <w:t xml:space="preserve"> </w:t>
      </w:r>
      <w:r>
        <w:rPr>
          <w:rFonts w:eastAsia="Calibri"/>
        </w:rPr>
        <w:t>, p. 9.</w:t>
      </w:r>
    </w:p>
  </w:footnote>
  <w:footnote w:id="5">
    <w:p w:rsidRPr="00622F1C" w:rsidR="0004451B" w:rsidP="00952E94" w:rsidRDefault="0004451B" w14:paraId="25EFD3D0" w14:textId="6210B80E">
      <w:pPr>
        <w:pStyle w:val="FootnoteText"/>
        <w:ind w:left="567" w:hanging="567"/>
        <w:rPr>
          <w:lang w:val="en-US"/>
        </w:rPr>
      </w:pPr>
      <w:r>
        <w:rPr>
          <w:rStyle w:val="FootnoteReference"/>
        </w:rPr>
        <w:footnoteRef/>
      </w:r>
      <w:r w:rsidR="00FF0547">
        <w:tab/>
      </w:r>
      <w:r>
        <w:rPr>
          <w:rFonts w:eastAsia="Calibri"/>
        </w:rPr>
        <w:t xml:space="preserve">ESPON, 2019, </w:t>
      </w:r>
      <w:r w:rsidRPr="005361A6">
        <w:rPr>
          <w:rFonts w:eastAsia="Calibri"/>
          <w:i/>
        </w:rPr>
        <w:t>Addressing Labour Migration Challenges in Europe</w:t>
      </w:r>
      <w:r>
        <w:rPr>
          <w:rFonts w:eastAsia="Calibri"/>
        </w:rPr>
        <w:t>, p. 18</w:t>
      </w:r>
      <w:r w:rsidR="00812368">
        <w:rPr>
          <w:rFonts w:eastAsia="Calibri"/>
        </w:rPr>
        <w:t>.</w:t>
      </w:r>
    </w:p>
  </w:footnote>
  <w:footnote w:id="6">
    <w:p w:rsidR="0004451B" w:rsidP="00952E94" w:rsidRDefault="0004451B" w14:paraId="7C9DAA9A" w14:textId="3671D4BE">
      <w:pPr>
        <w:pStyle w:val="FootnoteText"/>
        <w:ind w:left="567" w:hanging="567"/>
        <w:rPr>
          <w:rFonts w:eastAsia="Calibri"/>
        </w:rPr>
      </w:pPr>
      <w:r w:rsidRPr="00B50338">
        <w:rPr>
          <w:sz w:val="24"/>
          <w:szCs w:val="24"/>
          <w:vertAlign w:val="superscript"/>
        </w:rPr>
        <w:footnoteRef/>
      </w:r>
      <w:r w:rsidR="00FF0547">
        <w:rPr>
          <w:rFonts w:eastAsia="Calibri"/>
          <w:sz w:val="24"/>
          <w:szCs w:val="24"/>
        </w:rPr>
        <w:tab/>
      </w:r>
      <w:r>
        <w:rPr>
          <w:rFonts w:eastAsia="Calibri"/>
        </w:rPr>
        <w:t>Idem, pp. 17-18</w:t>
      </w:r>
      <w:r w:rsidR="00863637">
        <w:rPr>
          <w:rFonts w:eastAsia="Calibri"/>
        </w:rPr>
        <w:t>.</w:t>
      </w:r>
    </w:p>
  </w:footnote>
  <w:footnote w:id="7">
    <w:p w:rsidRPr="00E62AE7" w:rsidR="00E94EB3" w:rsidP="00E94EB3" w:rsidRDefault="00E94EB3" w14:paraId="7954F385" w14:textId="7A5BB029">
      <w:pPr>
        <w:pStyle w:val="FootnoteText"/>
      </w:pPr>
      <w:r>
        <w:rPr>
          <w:rStyle w:val="FootnoteReference"/>
        </w:rPr>
        <w:footnoteRef/>
      </w:r>
      <w:r>
        <w:t xml:space="preserve"> </w:t>
      </w:r>
      <w:r w:rsidR="00306B70">
        <w:tab/>
      </w:r>
      <w:r w:rsidRPr="00E62AE7">
        <w:rPr>
          <w:bCs/>
          <w:iCs/>
        </w:rPr>
        <w:t>COR-2018-03891</w:t>
      </w:r>
      <w:r w:rsidR="0064181F">
        <w:rPr>
          <w:bCs/>
          <w:iCs/>
        </w:rPr>
        <w:t>.</w:t>
      </w:r>
    </w:p>
  </w:footnote>
  <w:footnote w:id="8">
    <w:p w:rsidR="0004451B" w:rsidP="007431A6" w:rsidRDefault="0004451B" w14:paraId="47A6C032" w14:textId="42AE7B3A">
      <w:pPr>
        <w:keepLines/>
        <w:pBdr>
          <w:top w:val="nil"/>
          <w:left w:val="nil"/>
          <w:bottom w:val="nil"/>
          <w:right w:val="nil"/>
          <w:between w:val="nil"/>
        </w:pBdr>
        <w:spacing w:after="60" w:line="240" w:lineRule="auto"/>
        <w:ind w:left="567" w:hanging="567"/>
        <w:rPr>
          <w:color w:val="000000"/>
          <w:sz w:val="16"/>
          <w:szCs w:val="16"/>
        </w:rPr>
      </w:pPr>
      <w:r>
        <w:rPr>
          <w:vertAlign w:val="superscript"/>
        </w:rPr>
        <w:footnoteRef/>
      </w:r>
      <w:r w:rsidRPr="00473A4A">
        <w:rPr>
          <w:sz w:val="16"/>
          <w:szCs w:val="16"/>
        </w:rPr>
        <w:tab/>
      </w:r>
      <w:r w:rsidRPr="00473A4A">
        <w:rPr>
          <w:rStyle w:val="FootnoteTextChar"/>
        </w:rPr>
        <w:t>COR 6435/2018</w:t>
      </w:r>
    </w:p>
  </w:footnote>
  <w:footnote w:id="9">
    <w:p w:rsidR="0004451B" w:rsidP="007431A6" w:rsidRDefault="0004451B" w14:paraId="63280784" w14:textId="14217EC5">
      <w:pPr>
        <w:keepLines/>
        <w:pBdr>
          <w:top w:val="nil"/>
          <w:left w:val="nil"/>
          <w:bottom w:val="nil"/>
          <w:right w:val="nil"/>
          <w:between w:val="nil"/>
        </w:pBdr>
        <w:spacing w:after="60" w:line="240" w:lineRule="auto"/>
        <w:ind w:left="567" w:hanging="567"/>
        <w:rPr>
          <w:color w:val="000000"/>
          <w:sz w:val="16"/>
          <w:szCs w:val="16"/>
        </w:rPr>
      </w:pPr>
      <w:r>
        <w:rPr>
          <w:vertAlign w:val="superscript"/>
        </w:rPr>
        <w:footnoteRef/>
      </w:r>
      <w:r w:rsidRPr="00AE7228" w:rsidR="002115C0">
        <w:rPr>
          <w:sz w:val="16"/>
          <w:szCs w:val="16"/>
        </w:rPr>
        <w:tab/>
      </w:r>
      <w:r w:rsidRPr="00473A4A">
        <w:rPr>
          <w:rStyle w:val="FootnoteTextChar"/>
        </w:rPr>
        <w:t>COR 3950/2018</w:t>
      </w:r>
    </w:p>
  </w:footnote>
  <w:footnote w:id="10">
    <w:p w:rsidR="0004451B" w:rsidP="007431A6" w:rsidRDefault="0004451B" w14:paraId="11B54C7D" w14:textId="4918D010">
      <w:pPr>
        <w:keepLines/>
        <w:pBdr>
          <w:top w:val="nil"/>
          <w:left w:val="nil"/>
          <w:bottom w:val="nil"/>
          <w:right w:val="nil"/>
          <w:between w:val="nil"/>
        </w:pBdr>
        <w:spacing w:after="60" w:line="240" w:lineRule="auto"/>
        <w:ind w:left="567" w:hanging="567"/>
        <w:rPr>
          <w:color w:val="000000"/>
          <w:sz w:val="16"/>
          <w:szCs w:val="16"/>
        </w:rPr>
      </w:pPr>
      <w:r>
        <w:rPr>
          <w:vertAlign w:val="superscript"/>
        </w:rPr>
        <w:footnoteRef/>
      </w:r>
      <w:r w:rsidRPr="00AE7228" w:rsidR="002115C0">
        <w:rPr>
          <w:sz w:val="16"/>
          <w:szCs w:val="16"/>
        </w:rPr>
        <w:tab/>
      </w:r>
      <w:r w:rsidRPr="00473A4A">
        <w:rPr>
          <w:rStyle w:val="FootnoteTextChar"/>
        </w:rPr>
        <w:t>COR 03952/2018</w:t>
      </w:r>
    </w:p>
  </w:footnote>
  <w:footnote w:id="11">
    <w:p w:rsidR="0004451B" w:rsidP="007431A6" w:rsidRDefault="0004451B" w14:paraId="734422B6" w14:textId="1A1D7F72">
      <w:pPr>
        <w:keepLines/>
        <w:pBdr>
          <w:top w:val="nil"/>
          <w:left w:val="nil"/>
          <w:bottom w:val="nil"/>
          <w:right w:val="nil"/>
          <w:between w:val="nil"/>
        </w:pBdr>
        <w:spacing w:after="60" w:line="240" w:lineRule="auto"/>
        <w:ind w:left="567" w:hanging="567"/>
        <w:rPr>
          <w:color w:val="000000"/>
          <w:sz w:val="16"/>
          <w:szCs w:val="16"/>
        </w:rPr>
      </w:pPr>
      <w:r>
        <w:rPr>
          <w:vertAlign w:val="superscript"/>
        </w:rPr>
        <w:footnoteRef/>
      </w:r>
      <w:r w:rsidRPr="00AE7228" w:rsidR="002115C0">
        <w:rPr>
          <w:sz w:val="16"/>
          <w:szCs w:val="16"/>
        </w:rPr>
        <w:tab/>
      </w:r>
      <w:r w:rsidRPr="00473A4A">
        <w:rPr>
          <w:sz w:val="16"/>
          <w:szCs w:val="16"/>
        </w:rPr>
        <w:t>COR 6048/2017</w:t>
      </w:r>
    </w:p>
  </w:footnote>
  <w:footnote w:id="12">
    <w:p w:rsidR="0004451B" w:rsidP="007431A6" w:rsidRDefault="0004451B" w14:paraId="17F48F04" w14:textId="6A379484">
      <w:pPr>
        <w:keepLines/>
        <w:pBdr>
          <w:top w:val="nil"/>
          <w:left w:val="nil"/>
          <w:bottom w:val="nil"/>
          <w:right w:val="nil"/>
          <w:between w:val="nil"/>
        </w:pBdr>
        <w:spacing w:after="60" w:line="240" w:lineRule="auto"/>
        <w:ind w:left="567" w:hanging="567"/>
        <w:rPr>
          <w:color w:val="000000"/>
          <w:sz w:val="16"/>
          <w:szCs w:val="16"/>
        </w:rPr>
      </w:pPr>
      <w:r>
        <w:rPr>
          <w:vertAlign w:val="superscript"/>
        </w:rPr>
        <w:footnoteRef/>
      </w:r>
      <w:r w:rsidRPr="00AE7228" w:rsidR="002115C0">
        <w:rPr>
          <w:sz w:val="16"/>
          <w:szCs w:val="16"/>
        </w:rPr>
        <w:tab/>
      </w:r>
      <w:r w:rsidRPr="00473A4A">
        <w:rPr>
          <w:sz w:val="16"/>
          <w:szCs w:val="16"/>
        </w:rPr>
        <w:t>COR 3139/2017</w:t>
      </w:r>
    </w:p>
  </w:footnote>
  <w:footnote w:id="13">
    <w:p w:rsidR="0004451B" w:rsidP="007431A6" w:rsidRDefault="0004451B" w14:paraId="1C1F3956" w14:textId="28E6E201">
      <w:pPr>
        <w:keepLines/>
        <w:pBdr>
          <w:top w:val="nil"/>
          <w:left w:val="nil"/>
          <w:bottom w:val="nil"/>
          <w:right w:val="nil"/>
          <w:between w:val="nil"/>
        </w:pBdr>
        <w:spacing w:after="60" w:line="240" w:lineRule="auto"/>
        <w:ind w:left="567" w:hanging="567"/>
        <w:rPr>
          <w:color w:val="000000"/>
          <w:sz w:val="16"/>
          <w:szCs w:val="16"/>
        </w:rPr>
      </w:pPr>
      <w:r>
        <w:rPr>
          <w:vertAlign w:val="superscript"/>
        </w:rPr>
        <w:footnoteRef/>
      </w:r>
      <w:r w:rsidRPr="00AE7228" w:rsidR="002115C0">
        <w:rPr>
          <w:sz w:val="16"/>
          <w:szCs w:val="16"/>
        </w:rPr>
        <w:tab/>
      </w:r>
      <w:r w:rsidRPr="00473A4A">
        <w:rPr>
          <w:sz w:val="16"/>
          <w:szCs w:val="16"/>
        </w:rPr>
        <w:t>COR 851/2017</w:t>
      </w:r>
    </w:p>
  </w:footnote>
  <w:footnote w:id="14">
    <w:p w:rsidR="0004451B" w:rsidP="007431A6" w:rsidRDefault="0004451B" w14:paraId="74E76A83" w14:textId="0B11E409">
      <w:pPr>
        <w:keepLines/>
        <w:pBdr>
          <w:top w:val="nil"/>
          <w:left w:val="nil"/>
          <w:bottom w:val="nil"/>
          <w:right w:val="nil"/>
          <w:between w:val="nil"/>
        </w:pBdr>
        <w:spacing w:after="60" w:line="240" w:lineRule="auto"/>
        <w:ind w:left="567" w:hanging="567"/>
        <w:rPr>
          <w:color w:val="000000"/>
          <w:sz w:val="16"/>
          <w:szCs w:val="16"/>
        </w:rPr>
      </w:pPr>
      <w:r>
        <w:rPr>
          <w:vertAlign w:val="superscript"/>
        </w:rPr>
        <w:footnoteRef/>
      </w:r>
      <w:r w:rsidRPr="00AE7228" w:rsidR="002115C0">
        <w:rPr>
          <w:sz w:val="16"/>
          <w:szCs w:val="16"/>
        </w:rPr>
        <w:tab/>
      </w:r>
      <w:r w:rsidRPr="00473A4A">
        <w:rPr>
          <w:sz w:val="16"/>
          <w:szCs w:val="16"/>
        </w:rPr>
        <w:t>COR 4094/2016</w:t>
      </w:r>
    </w:p>
  </w:footnote>
  <w:footnote w:id="15">
    <w:p w:rsidR="0004451B" w:rsidP="007431A6" w:rsidRDefault="0004451B" w14:paraId="6CEE0E5C" w14:textId="06635CF6">
      <w:pPr>
        <w:keepLines/>
        <w:pBdr>
          <w:top w:val="nil"/>
          <w:left w:val="nil"/>
          <w:bottom w:val="nil"/>
          <w:right w:val="nil"/>
          <w:between w:val="nil"/>
        </w:pBdr>
        <w:spacing w:after="60" w:line="240" w:lineRule="auto"/>
        <w:ind w:left="567" w:hanging="567"/>
        <w:rPr>
          <w:color w:val="000000"/>
          <w:sz w:val="16"/>
          <w:szCs w:val="16"/>
        </w:rPr>
      </w:pPr>
      <w:r>
        <w:rPr>
          <w:vertAlign w:val="superscript"/>
        </w:rPr>
        <w:footnoteRef/>
      </w:r>
      <w:r w:rsidRPr="00AE7228" w:rsidR="002115C0">
        <w:rPr>
          <w:sz w:val="16"/>
          <w:szCs w:val="16"/>
        </w:rPr>
        <w:tab/>
      </w:r>
      <w:r w:rsidRPr="00473A4A">
        <w:rPr>
          <w:sz w:val="16"/>
          <w:szCs w:val="16"/>
        </w:rPr>
        <w:t>COR 3921/2014</w:t>
      </w:r>
    </w:p>
  </w:footnote>
  <w:footnote w:id="16">
    <w:p w:rsidR="0004451B" w:rsidP="007431A6" w:rsidRDefault="0004451B" w14:paraId="03A9D97C" w14:textId="2CF1F7E6">
      <w:pPr>
        <w:keepLines/>
        <w:pBdr>
          <w:top w:val="nil"/>
          <w:left w:val="nil"/>
          <w:bottom w:val="nil"/>
          <w:right w:val="nil"/>
          <w:between w:val="nil"/>
        </w:pBdr>
        <w:spacing w:after="60" w:line="240" w:lineRule="auto"/>
        <w:ind w:left="567" w:hanging="567"/>
        <w:rPr>
          <w:color w:val="000000"/>
          <w:sz w:val="16"/>
          <w:szCs w:val="16"/>
        </w:rPr>
      </w:pPr>
      <w:r>
        <w:rPr>
          <w:vertAlign w:val="superscript"/>
        </w:rPr>
        <w:footnoteRef/>
      </w:r>
      <w:r w:rsidRPr="00473A4A">
        <w:rPr>
          <w:sz w:val="16"/>
          <w:szCs w:val="16"/>
        </w:rPr>
        <w:tab/>
        <w:t>COR 6183/2013</w:t>
      </w:r>
      <w:r>
        <w:rPr>
          <w:color w:val="000000"/>
          <w:sz w:val="16"/>
          <w:szCs w:val="16"/>
        </w:rPr>
        <w:t xml:space="preserve"> </w:t>
      </w:r>
    </w:p>
  </w:footnote>
  <w:footnote w:id="17">
    <w:p w:rsidR="0004451B" w:rsidP="007431A6" w:rsidRDefault="0004451B" w14:paraId="2609197A" w14:textId="59C004AD">
      <w:pPr>
        <w:keepLines/>
        <w:pBdr>
          <w:top w:val="nil"/>
          <w:left w:val="nil"/>
          <w:bottom w:val="nil"/>
          <w:right w:val="nil"/>
          <w:between w:val="nil"/>
        </w:pBdr>
        <w:spacing w:after="60" w:line="240" w:lineRule="auto"/>
        <w:ind w:left="567" w:hanging="567"/>
        <w:rPr>
          <w:color w:val="000000"/>
          <w:sz w:val="16"/>
          <w:szCs w:val="16"/>
        </w:rPr>
      </w:pPr>
      <w:r>
        <w:rPr>
          <w:vertAlign w:val="superscript"/>
        </w:rPr>
        <w:footnoteRef/>
      </w:r>
      <w:r w:rsidRPr="00473A4A">
        <w:rPr>
          <w:sz w:val="16"/>
          <w:szCs w:val="16"/>
        </w:rPr>
        <w:tab/>
        <w:t>COR 5961/2013</w:t>
      </w:r>
      <w:r>
        <w:rPr>
          <w:color w:val="000000"/>
          <w:sz w:val="16"/>
          <w:szCs w:val="16"/>
        </w:rPr>
        <w:t xml:space="preserve"> </w:t>
      </w:r>
    </w:p>
  </w:footnote>
  <w:footnote w:id="18">
    <w:p w:rsidR="0004451B" w:rsidP="007431A6" w:rsidRDefault="0004451B" w14:paraId="46233656" w14:textId="47FB46D4">
      <w:pPr>
        <w:keepLines/>
        <w:pBdr>
          <w:top w:val="nil"/>
          <w:left w:val="nil"/>
          <w:bottom w:val="nil"/>
          <w:right w:val="nil"/>
          <w:between w:val="nil"/>
        </w:pBdr>
        <w:spacing w:after="60" w:line="240" w:lineRule="auto"/>
        <w:ind w:left="567" w:hanging="567"/>
        <w:rPr>
          <w:color w:val="000000"/>
          <w:sz w:val="16"/>
          <w:szCs w:val="16"/>
        </w:rPr>
      </w:pPr>
      <w:r>
        <w:rPr>
          <w:vertAlign w:val="superscript"/>
        </w:rPr>
        <w:footnoteRef/>
      </w:r>
      <w:r w:rsidRPr="00473A4A">
        <w:rPr>
          <w:sz w:val="16"/>
          <w:szCs w:val="16"/>
        </w:rPr>
        <w:tab/>
        <w:t xml:space="preserve">COR 2392/2012 </w:t>
      </w:r>
    </w:p>
  </w:footnote>
  <w:footnote w:id="19">
    <w:p w:rsidR="0004451B" w:rsidP="00BA7249" w:rsidRDefault="0004451B" w14:paraId="4FE852FD" w14:textId="77777777">
      <w:pPr>
        <w:keepLines/>
        <w:pBdr>
          <w:top w:val="nil"/>
          <w:left w:val="nil"/>
          <w:bottom w:val="nil"/>
          <w:right w:val="nil"/>
          <w:between w:val="nil"/>
        </w:pBdr>
        <w:spacing w:after="60" w:line="240" w:lineRule="auto"/>
        <w:ind w:left="567" w:hanging="567"/>
        <w:rPr>
          <w:color w:val="000000"/>
          <w:sz w:val="16"/>
          <w:szCs w:val="16"/>
        </w:rPr>
      </w:pPr>
      <w:r>
        <w:rPr>
          <w:vertAlign w:val="superscript"/>
        </w:rPr>
        <w:footnoteRef/>
      </w:r>
      <w:r w:rsidRPr="00473A4A">
        <w:rPr>
          <w:sz w:val="16"/>
          <w:szCs w:val="16"/>
        </w:rPr>
        <w:tab/>
        <w:t>COR 173/2007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A1D0D" w:rsidR="007A1D0D" w:rsidP="007A1D0D" w:rsidRDefault="007A1D0D" w14:paraId="1421FE66"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A1D0D" w:rsidR="007A1D0D" w:rsidP="007A1D0D" w:rsidRDefault="007A1D0D" w14:paraId="04F5AC91" w14:textId="76A2B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A1D0D" w:rsidR="007A1D0D" w:rsidP="007A1D0D" w:rsidRDefault="007A1D0D" w14:paraId="640C18F1" w14:textId="777777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A1D0D" w:rsidR="00DF275B" w:rsidP="007A1D0D" w:rsidRDefault="00DF275B" w14:paraId="22AEDBA8" w14:textId="777777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A1D0D" w:rsidR="00DF275B" w:rsidP="007A1D0D" w:rsidRDefault="00DF275B" w14:paraId="7E6A84D2" w14:textId="31D98AB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A1D0D" w:rsidR="00DF275B" w:rsidP="007A1D0D" w:rsidRDefault="00DF275B" w14:paraId="422AE918"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Pastina">
    <w15:presenceInfo w15:providerId="None" w15:userId="Daniela Pastina"/>
  </w15:person>
  <w15:person w15:author="Doru-Iulian Hobjila">
    <w15:presenceInfo w15:providerId="None" w15:userId="Doru-Iulian Hobjila"/>
  </w15:person>
  <w15:person w15:author="Merle Koppel">
    <w15:presenceInfo w15:providerId="None" w15:userId="Merle Koppel"/>
  </w15:person>
  <w15:person w15:author="Nicola Gibbon">
    <w15:presenceInfo w15:providerId="None" w15:userId="Nicola Gibbon"/>
  </w15:person>
  <w15:person w15:author="YMUR">
    <w15:presenceInfo w15:providerId="None" w15:userId="YM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037AF"/>
    <w:rsid w:val="00012DA7"/>
    <w:rsid w:val="00020D7F"/>
    <w:rsid w:val="00041B59"/>
    <w:rsid w:val="0004451B"/>
    <w:rsid w:val="00054C72"/>
    <w:rsid w:val="00057F58"/>
    <w:rsid w:val="000615B3"/>
    <w:rsid w:val="00067BA8"/>
    <w:rsid w:val="00083AE8"/>
    <w:rsid w:val="000A274C"/>
    <w:rsid w:val="000A3045"/>
    <w:rsid w:val="000B227C"/>
    <w:rsid w:val="000B74D3"/>
    <w:rsid w:val="000C3BC1"/>
    <w:rsid w:val="000C3E73"/>
    <w:rsid w:val="000C5B50"/>
    <w:rsid w:val="000D0006"/>
    <w:rsid w:val="000D16C9"/>
    <w:rsid w:val="000D6A84"/>
    <w:rsid w:val="000E12E8"/>
    <w:rsid w:val="000F2DA8"/>
    <w:rsid w:val="00101FBB"/>
    <w:rsid w:val="00112E32"/>
    <w:rsid w:val="00115956"/>
    <w:rsid w:val="0012190B"/>
    <w:rsid w:val="001350BC"/>
    <w:rsid w:val="0015645B"/>
    <w:rsid w:val="00160984"/>
    <w:rsid w:val="00172077"/>
    <w:rsid w:val="001B33A4"/>
    <w:rsid w:val="001C0BC5"/>
    <w:rsid w:val="001C66A9"/>
    <w:rsid w:val="001E5620"/>
    <w:rsid w:val="001F1AB8"/>
    <w:rsid w:val="002033F5"/>
    <w:rsid w:val="002054D0"/>
    <w:rsid w:val="002115C0"/>
    <w:rsid w:val="00221A15"/>
    <w:rsid w:val="002302F1"/>
    <w:rsid w:val="00231582"/>
    <w:rsid w:val="00241348"/>
    <w:rsid w:val="00242467"/>
    <w:rsid w:val="00254118"/>
    <w:rsid w:val="00254B94"/>
    <w:rsid w:val="0026767E"/>
    <w:rsid w:val="002765BC"/>
    <w:rsid w:val="00293319"/>
    <w:rsid w:val="002A489D"/>
    <w:rsid w:val="002A67BF"/>
    <w:rsid w:val="002B1E5E"/>
    <w:rsid w:val="002B4015"/>
    <w:rsid w:val="002D618D"/>
    <w:rsid w:val="002E6A4E"/>
    <w:rsid w:val="002F03D6"/>
    <w:rsid w:val="0030224B"/>
    <w:rsid w:val="00306B70"/>
    <w:rsid w:val="00322488"/>
    <w:rsid w:val="003300CA"/>
    <w:rsid w:val="003318A3"/>
    <w:rsid w:val="00334D96"/>
    <w:rsid w:val="00346B16"/>
    <w:rsid w:val="003563A4"/>
    <w:rsid w:val="003613F1"/>
    <w:rsid w:val="00367564"/>
    <w:rsid w:val="00373ED4"/>
    <w:rsid w:val="00383975"/>
    <w:rsid w:val="0039665D"/>
    <w:rsid w:val="003A043C"/>
    <w:rsid w:val="003A4814"/>
    <w:rsid w:val="003B0723"/>
    <w:rsid w:val="003B0A1E"/>
    <w:rsid w:val="003B0D0D"/>
    <w:rsid w:val="003B1C77"/>
    <w:rsid w:val="003C0F98"/>
    <w:rsid w:val="003C399A"/>
    <w:rsid w:val="003E420C"/>
    <w:rsid w:val="00406724"/>
    <w:rsid w:val="00420E1B"/>
    <w:rsid w:val="004248ED"/>
    <w:rsid w:val="00432CA3"/>
    <w:rsid w:val="004336B4"/>
    <w:rsid w:val="00436307"/>
    <w:rsid w:val="00444A98"/>
    <w:rsid w:val="00446120"/>
    <w:rsid w:val="00447B69"/>
    <w:rsid w:val="00453E60"/>
    <w:rsid w:val="00454AD9"/>
    <w:rsid w:val="00473A4A"/>
    <w:rsid w:val="00475484"/>
    <w:rsid w:val="004A0C7C"/>
    <w:rsid w:val="004A13C0"/>
    <w:rsid w:val="004A41CF"/>
    <w:rsid w:val="004A7DCD"/>
    <w:rsid w:val="004B3374"/>
    <w:rsid w:val="004B698F"/>
    <w:rsid w:val="004E605D"/>
    <w:rsid w:val="00500E19"/>
    <w:rsid w:val="00512A74"/>
    <w:rsid w:val="00531EAB"/>
    <w:rsid w:val="005361A6"/>
    <w:rsid w:val="005362DA"/>
    <w:rsid w:val="005369E1"/>
    <w:rsid w:val="00537DC6"/>
    <w:rsid w:val="00541C7B"/>
    <w:rsid w:val="00542737"/>
    <w:rsid w:val="005516FA"/>
    <w:rsid w:val="00567C86"/>
    <w:rsid w:val="00575FC1"/>
    <w:rsid w:val="00583866"/>
    <w:rsid w:val="00584F83"/>
    <w:rsid w:val="005918A5"/>
    <w:rsid w:val="00597E2D"/>
    <w:rsid w:val="005A41BB"/>
    <w:rsid w:val="005A7F8D"/>
    <w:rsid w:val="005B102C"/>
    <w:rsid w:val="005B2905"/>
    <w:rsid w:val="005C36CD"/>
    <w:rsid w:val="005C4B78"/>
    <w:rsid w:val="005C4F1C"/>
    <w:rsid w:val="005D31A6"/>
    <w:rsid w:val="005D3418"/>
    <w:rsid w:val="005D40B6"/>
    <w:rsid w:val="005D4683"/>
    <w:rsid w:val="005E2651"/>
    <w:rsid w:val="005E58C7"/>
    <w:rsid w:val="005F392C"/>
    <w:rsid w:val="005F4399"/>
    <w:rsid w:val="006038EB"/>
    <w:rsid w:val="006040A1"/>
    <w:rsid w:val="006074E6"/>
    <w:rsid w:val="00611D07"/>
    <w:rsid w:val="006178E4"/>
    <w:rsid w:val="00622F1C"/>
    <w:rsid w:val="006311E4"/>
    <w:rsid w:val="006342ED"/>
    <w:rsid w:val="0064181F"/>
    <w:rsid w:val="00644513"/>
    <w:rsid w:val="00680676"/>
    <w:rsid w:val="0068669A"/>
    <w:rsid w:val="006A4A0A"/>
    <w:rsid w:val="006C2D9B"/>
    <w:rsid w:val="006D0087"/>
    <w:rsid w:val="006D78CA"/>
    <w:rsid w:val="006F6B45"/>
    <w:rsid w:val="00711E44"/>
    <w:rsid w:val="00720994"/>
    <w:rsid w:val="00721875"/>
    <w:rsid w:val="007242B9"/>
    <w:rsid w:val="007431A6"/>
    <w:rsid w:val="0075508D"/>
    <w:rsid w:val="0075532F"/>
    <w:rsid w:val="0076577D"/>
    <w:rsid w:val="007722BF"/>
    <w:rsid w:val="00772A86"/>
    <w:rsid w:val="00782D0F"/>
    <w:rsid w:val="00785967"/>
    <w:rsid w:val="007933C0"/>
    <w:rsid w:val="007A13CA"/>
    <w:rsid w:val="007A1D0D"/>
    <w:rsid w:val="007A6D76"/>
    <w:rsid w:val="007B10B2"/>
    <w:rsid w:val="007B2E4D"/>
    <w:rsid w:val="007D5D12"/>
    <w:rsid w:val="007D7AD6"/>
    <w:rsid w:val="007F0079"/>
    <w:rsid w:val="007F68C4"/>
    <w:rsid w:val="00806353"/>
    <w:rsid w:val="00806DB8"/>
    <w:rsid w:val="00810512"/>
    <w:rsid w:val="00812368"/>
    <w:rsid w:val="00814EF3"/>
    <w:rsid w:val="008224B6"/>
    <w:rsid w:val="00833C1F"/>
    <w:rsid w:val="00837FA5"/>
    <w:rsid w:val="00847E17"/>
    <w:rsid w:val="0085234E"/>
    <w:rsid w:val="00861438"/>
    <w:rsid w:val="00863637"/>
    <w:rsid w:val="00864E07"/>
    <w:rsid w:val="00866F5C"/>
    <w:rsid w:val="00875E7F"/>
    <w:rsid w:val="00897001"/>
    <w:rsid w:val="008A0EFE"/>
    <w:rsid w:val="008B1D8E"/>
    <w:rsid w:val="008B5E54"/>
    <w:rsid w:val="008C4C8B"/>
    <w:rsid w:val="008D2EFA"/>
    <w:rsid w:val="008D3638"/>
    <w:rsid w:val="008D5CBC"/>
    <w:rsid w:val="008E1CE9"/>
    <w:rsid w:val="00905D4C"/>
    <w:rsid w:val="00913B7D"/>
    <w:rsid w:val="00914934"/>
    <w:rsid w:val="009352AE"/>
    <w:rsid w:val="009501C9"/>
    <w:rsid w:val="00952E94"/>
    <w:rsid w:val="009638F8"/>
    <w:rsid w:val="00964C4C"/>
    <w:rsid w:val="00971A56"/>
    <w:rsid w:val="00992738"/>
    <w:rsid w:val="0099391A"/>
    <w:rsid w:val="009A0013"/>
    <w:rsid w:val="009A16C1"/>
    <w:rsid w:val="009A6E15"/>
    <w:rsid w:val="009C789F"/>
    <w:rsid w:val="009C7AE8"/>
    <w:rsid w:val="009D525C"/>
    <w:rsid w:val="009D66AE"/>
    <w:rsid w:val="009F0B69"/>
    <w:rsid w:val="009F3CFA"/>
    <w:rsid w:val="009F7D37"/>
    <w:rsid w:val="00A012E5"/>
    <w:rsid w:val="00A031FF"/>
    <w:rsid w:val="00A22637"/>
    <w:rsid w:val="00A23A56"/>
    <w:rsid w:val="00A27C6A"/>
    <w:rsid w:val="00A402C8"/>
    <w:rsid w:val="00A539B1"/>
    <w:rsid w:val="00A6040A"/>
    <w:rsid w:val="00A63679"/>
    <w:rsid w:val="00A73052"/>
    <w:rsid w:val="00A76932"/>
    <w:rsid w:val="00A84676"/>
    <w:rsid w:val="00A911A9"/>
    <w:rsid w:val="00A91F95"/>
    <w:rsid w:val="00A94ADD"/>
    <w:rsid w:val="00AA2698"/>
    <w:rsid w:val="00AA488C"/>
    <w:rsid w:val="00AA7195"/>
    <w:rsid w:val="00AA77B1"/>
    <w:rsid w:val="00AB0937"/>
    <w:rsid w:val="00AC2F3A"/>
    <w:rsid w:val="00AD45B0"/>
    <w:rsid w:val="00AE4401"/>
    <w:rsid w:val="00AF3A42"/>
    <w:rsid w:val="00AF7B18"/>
    <w:rsid w:val="00B07B75"/>
    <w:rsid w:val="00B16ED0"/>
    <w:rsid w:val="00B26991"/>
    <w:rsid w:val="00B33430"/>
    <w:rsid w:val="00B4748A"/>
    <w:rsid w:val="00B50338"/>
    <w:rsid w:val="00B640E2"/>
    <w:rsid w:val="00B65DB1"/>
    <w:rsid w:val="00B72050"/>
    <w:rsid w:val="00B8711C"/>
    <w:rsid w:val="00BA7249"/>
    <w:rsid w:val="00BB4B32"/>
    <w:rsid w:val="00BD6F65"/>
    <w:rsid w:val="00BD717C"/>
    <w:rsid w:val="00BE061F"/>
    <w:rsid w:val="00BE3E20"/>
    <w:rsid w:val="00BF7AE7"/>
    <w:rsid w:val="00C04E99"/>
    <w:rsid w:val="00C3552F"/>
    <w:rsid w:val="00C50B9A"/>
    <w:rsid w:val="00C639CA"/>
    <w:rsid w:val="00C6602B"/>
    <w:rsid w:val="00C661A1"/>
    <w:rsid w:val="00C66B27"/>
    <w:rsid w:val="00C806F6"/>
    <w:rsid w:val="00C82639"/>
    <w:rsid w:val="00CA2517"/>
    <w:rsid w:val="00CA6B49"/>
    <w:rsid w:val="00CB7BAE"/>
    <w:rsid w:val="00CE5929"/>
    <w:rsid w:val="00CE6528"/>
    <w:rsid w:val="00D06228"/>
    <w:rsid w:val="00D07EDC"/>
    <w:rsid w:val="00D15F99"/>
    <w:rsid w:val="00D46F0D"/>
    <w:rsid w:val="00D763B6"/>
    <w:rsid w:val="00D85A52"/>
    <w:rsid w:val="00D93CEA"/>
    <w:rsid w:val="00DA0453"/>
    <w:rsid w:val="00DA085F"/>
    <w:rsid w:val="00DA3DEA"/>
    <w:rsid w:val="00DA78B3"/>
    <w:rsid w:val="00DC16B2"/>
    <w:rsid w:val="00DC55CB"/>
    <w:rsid w:val="00DD66B3"/>
    <w:rsid w:val="00DE5160"/>
    <w:rsid w:val="00DE664B"/>
    <w:rsid w:val="00DF275B"/>
    <w:rsid w:val="00DF5986"/>
    <w:rsid w:val="00DF7D46"/>
    <w:rsid w:val="00E30D3A"/>
    <w:rsid w:val="00E3562D"/>
    <w:rsid w:val="00E419DF"/>
    <w:rsid w:val="00E438F6"/>
    <w:rsid w:val="00E52232"/>
    <w:rsid w:val="00E5664A"/>
    <w:rsid w:val="00E62AE7"/>
    <w:rsid w:val="00E67837"/>
    <w:rsid w:val="00E729D8"/>
    <w:rsid w:val="00E7785F"/>
    <w:rsid w:val="00E824CD"/>
    <w:rsid w:val="00E83AE3"/>
    <w:rsid w:val="00E83E7B"/>
    <w:rsid w:val="00E94EB3"/>
    <w:rsid w:val="00EA11A0"/>
    <w:rsid w:val="00EB1DF4"/>
    <w:rsid w:val="00EB34FA"/>
    <w:rsid w:val="00EB3B52"/>
    <w:rsid w:val="00ED27FB"/>
    <w:rsid w:val="00ED3666"/>
    <w:rsid w:val="00EE2C12"/>
    <w:rsid w:val="00F015FC"/>
    <w:rsid w:val="00F2710E"/>
    <w:rsid w:val="00F354DA"/>
    <w:rsid w:val="00F40F26"/>
    <w:rsid w:val="00F42C06"/>
    <w:rsid w:val="00F42EDA"/>
    <w:rsid w:val="00F45402"/>
    <w:rsid w:val="00F55286"/>
    <w:rsid w:val="00F64AD3"/>
    <w:rsid w:val="00F7144E"/>
    <w:rsid w:val="00F84BCE"/>
    <w:rsid w:val="00F85741"/>
    <w:rsid w:val="00F90F5A"/>
    <w:rsid w:val="00F94B58"/>
    <w:rsid w:val="00FA1EEE"/>
    <w:rsid w:val="00FB525B"/>
    <w:rsid w:val="00FD497F"/>
    <w:rsid w:val="00FE57E8"/>
    <w:rsid w:val="00FE7B56"/>
    <w:rsid w:val="00FF0547"/>
    <w:rsid w:val="00FF22CA"/>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7FF455A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1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847E17"/>
    <w:pPr>
      <w:numPr>
        <w:numId w:val="1"/>
      </w:numPr>
      <w:outlineLvl w:val="0"/>
    </w:pPr>
    <w:rPr>
      <w:kern w:val="28"/>
    </w:rPr>
  </w:style>
  <w:style w:type="paragraph" w:styleId="Heading2">
    <w:name w:val="heading 2"/>
    <w:basedOn w:val="Normal"/>
    <w:next w:val="Normal"/>
    <w:link w:val="Heading2Char"/>
    <w:uiPriority w:val="9"/>
    <w:qFormat/>
    <w:rsid w:val="00847E17"/>
    <w:pPr>
      <w:numPr>
        <w:ilvl w:val="1"/>
        <w:numId w:val="1"/>
      </w:numPr>
      <w:ind w:left="720" w:hanging="720"/>
      <w:outlineLvl w:val="1"/>
    </w:pPr>
  </w:style>
  <w:style w:type="paragraph" w:styleId="Heading3">
    <w:name w:val="heading 3"/>
    <w:basedOn w:val="Normal"/>
    <w:next w:val="Normal"/>
    <w:link w:val="Heading3Char"/>
    <w:uiPriority w:val="9"/>
    <w:qFormat/>
    <w:rsid w:val="00847E17"/>
    <w:pPr>
      <w:numPr>
        <w:ilvl w:val="2"/>
        <w:numId w:val="1"/>
      </w:numPr>
      <w:ind w:left="720" w:hanging="720"/>
      <w:outlineLvl w:val="2"/>
    </w:pPr>
  </w:style>
  <w:style w:type="paragraph" w:styleId="Heading4">
    <w:name w:val="heading 4"/>
    <w:basedOn w:val="Normal"/>
    <w:next w:val="Normal"/>
    <w:link w:val="Heading4Char"/>
    <w:uiPriority w:val="9"/>
    <w:qFormat/>
    <w:rsid w:val="00847E17"/>
    <w:pPr>
      <w:numPr>
        <w:ilvl w:val="3"/>
        <w:numId w:val="1"/>
      </w:numPr>
      <w:ind w:left="720" w:hanging="720"/>
      <w:outlineLvl w:val="3"/>
    </w:pPr>
  </w:style>
  <w:style w:type="paragraph" w:styleId="Heading5">
    <w:name w:val="heading 5"/>
    <w:basedOn w:val="Normal"/>
    <w:next w:val="Normal"/>
    <w:link w:val="Heading5Char"/>
    <w:uiPriority w:val="9"/>
    <w:qFormat/>
    <w:rsid w:val="00847E17"/>
    <w:pPr>
      <w:numPr>
        <w:ilvl w:val="4"/>
        <w:numId w:val="1"/>
      </w:numPr>
      <w:ind w:left="720" w:hanging="720"/>
      <w:outlineLvl w:val="4"/>
    </w:pPr>
  </w:style>
  <w:style w:type="paragraph" w:styleId="Heading6">
    <w:name w:val="heading 6"/>
    <w:basedOn w:val="Normal"/>
    <w:next w:val="Normal"/>
    <w:link w:val="Heading6Char"/>
    <w:uiPriority w:val="9"/>
    <w:qFormat/>
    <w:rsid w:val="00847E17"/>
    <w:pPr>
      <w:numPr>
        <w:ilvl w:val="5"/>
        <w:numId w:val="1"/>
      </w:numPr>
      <w:ind w:left="720" w:hanging="720"/>
      <w:outlineLvl w:val="5"/>
    </w:pPr>
  </w:style>
  <w:style w:type="paragraph" w:styleId="Heading7">
    <w:name w:val="heading 7"/>
    <w:basedOn w:val="Normal"/>
    <w:next w:val="Normal"/>
    <w:link w:val="Heading7Char"/>
    <w:uiPriority w:val="9"/>
    <w:qFormat/>
    <w:rsid w:val="00847E17"/>
    <w:pPr>
      <w:numPr>
        <w:ilvl w:val="6"/>
        <w:numId w:val="1"/>
      </w:numPr>
      <w:ind w:left="720" w:hanging="720"/>
      <w:outlineLvl w:val="6"/>
    </w:pPr>
  </w:style>
  <w:style w:type="paragraph" w:styleId="Heading8">
    <w:name w:val="heading 8"/>
    <w:basedOn w:val="Normal"/>
    <w:next w:val="Normal"/>
    <w:link w:val="Heading8Char"/>
    <w:uiPriority w:val="9"/>
    <w:qFormat/>
    <w:rsid w:val="00847E17"/>
    <w:pPr>
      <w:numPr>
        <w:ilvl w:val="7"/>
        <w:numId w:val="1"/>
      </w:numPr>
      <w:ind w:left="720" w:hanging="720"/>
      <w:outlineLvl w:val="7"/>
    </w:pPr>
  </w:style>
  <w:style w:type="paragraph" w:styleId="Heading9">
    <w:name w:val="heading 9"/>
    <w:basedOn w:val="Normal"/>
    <w:next w:val="Normal"/>
    <w:link w:val="Heading9Char"/>
    <w:uiPriority w:val="9"/>
    <w:qFormat/>
    <w:rsid w:val="00847E1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6A8"/>
    <w:rPr>
      <w:kern w:val="28"/>
      <w:sz w:val="22"/>
      <w:lang w:val="en-GB" w:eastAsia="en-US"/>
    </w:rPr>
  </w:style>
  <w:style w:type="character" w:customStyle="1" w:styleId="Heading2Char">
    <w:name w:val="Heading 2 Char"/>
    <w:basedOn w:val="DefaultParagraphFont"/>
    <w:link w:val="Heading2"/>
    <w:uiPriority w:val="9"/>
    <w:rsid w:val="009D66A8"/>
    <w:rPr>
      <w:sz w:val="22"/>
      <w:lang w:val="en-GB" w:eastAsia="en-US"/>
    </w:rPr>
  </w:style>
  <w:style w:type="character" w:customStyle="1" w:styleId="Heading3Char">
    <w:name w:val="Heading 3 Char"/>
    <w:basedOn w:val="DefaultParagraphFont"/>
    <w:link w:val="Heading3"/>
    <w:uiPriority w:val="9"/>
    <w:rsid w:val="009D66A8"/>
    <w:rPr>
      <w:sz w:val="22"/>
      <w:lang w:val="en-GB" w:eastAsia="en-US"/>
    </w:rPr>
  </w:style>
  <w:style w:type="character" w:customStyle="1" w:styleId="Heading4Char">
    <w:name w:val="Heading 4 Char"/>
    <w:basedOn w:val="DefaultParagraphFont"/>
    <w:link w:val="Heading4"/>
    <w:uiPriority w:val="9"/>
    <w:rsid w:val="009D66A8"/>
    <w:rPr>
      <w:sz w:val="22"/>
      <w:lang w:val="en-GB" w:eastAsia="en-US"/>
    </w:rPr>
  </w:style>
  <w:style w:type="character" w:customStyle="1" w:styleId="Heading5Char">
    <w:name w:val="Heading 5 Char"/>
    <w:basedOn w:val="DefaultParagraphFont"/>
    <w:link w:val="Heading5"/>
    <w:uiPriority w:val="9"/>
    <w:rsid w:val="009D66A8"/>
    <w:rPr>
      <w:sz w:val="22"/>
      <w:lang w:val="en-GB" w:eastAsia="en-US"/>
    </w:rPr>
  </w:style>
  <w:style w:type="character" w:customStyle="1" w:styleId="Heading6Char">
    <w:name w:val="Heading 6 Char"/>
    <w:basedOn w:val="DefaultParagraphFont"/>
    <w:link w:val="Heading6"/>
    <w:uiPriority w:val="9"/>
    <w:rsid w:val="009D66A8"/>
    <w:rPr>
      <w:sz w:val="22"/>
      <w:lang w:val="en-GB" w:eastAsia="en-US"/>
    </w:rPr>
  </w:style>
  <w:style w:type="character" w:customStyle="1" w:styleId="Heading7Char">
    <w:name w:val="Heading 7 Char"/>
    <w:basedOn w:val="DefaultParagraphFont"/>
    <w:link w:val="Heading7"/>
    <w:uiPriority w:val="9"/>
    <w:rsid w:val="009D66A8"/>
    <w:rPr>
      <w:sz w:val="22"/>
      <w:lang w:val="en-GB" w:eastAsia="en-US"/>
    </w:rPr>
  </w:style>
  <w:style w:type="character" w:customStyle="1" w:styleId="Heading8Char">
    <w:name w:val="Heading 8 Char"/>
    <w:basedOn w:val="DefaultParagraphFont"/>
    <w:link w:val="Heading8"/>
    <w:uiPriority w:val="9"/>
    <w:rsid w:val="009D66A8"/>
    <w:rPr>
      <w:sz w:val="22"/>
      <w:lang w:val="en-GB" w:eastAsia="en-US"/>
    </w:rPr>
  </w:style>
  <w:style w:type="character" w:customStyle="1" w:styleId="Heading9Char">
    <w:name w:val="Heading 9 Char"/>
    <w:basedOn w:val="DefaultParagraphFont"/>
    <w:link w:val="Heading9"/>
    <w:uiPriority w:val="9"/>
    <w:rsid w:val="009D66A8"/>
    <w:rPr>
      <w:sz w:val="22"/>
      <w:lang w:val="en-GB" w:eastAsia="en-US"/>
    </w:rPr>
  </w:style>
  <w:style w:type="paragraph" w:styleId="Footer">
    <w:name w:val="footer"/>
    <w:basedOn w:val="Normal"/>
    <w:link w:val="FooterChar"/>
    <w:uiPriority w:val="99"/>
    <w:rsid w:val="00847E17"/>
  </w:style>
  <w:style w:type="character" w:customStyle="1" w:styleId="FooterChar">
    <w:name w:val="Footer Char"/>
    <w:basedOn w:val="DefaultParagraphFont"/>
    <w:link w:val="Footer"/>
    <w:uiPriority w:val="99"/>
    <w:rsid w:val="009D66A8"/>
    <w:rPr>
      <w:sz w:val="22"/>
      <w:lang w:val="en-GB" w:eastAsia="en-US"/>
    </w:rPr>
  </w:style>
  <w:style w:type="paragraph" w:styleId="FootnoteText">
    <w:name w:val="footnote text"/>
    <w:basedOn w:val="Normal"/>
    <w:link w:val="FootnoteTextChar"/>
    <w:uiPriority w:val="99"/>
    <w:rsid w:val="00847E1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9D66A8"/>
    <w:rPr>
      <w:lang w:val="en-GB" w:eastAsia="en-US"/>
    </w:rPr>
  </w:style>
  <w:style w:type="paragraph" w:styleId="Header">
    <w:name w:val="header"/>
    <w:basedOn w:val="Normal"/>
    <w:link w:val="HeaderChar"/>
    <w:uiPriority w:val="99"/>
    <w:rsid w:val="00847E17"/>
  </w:style>
  <w:style w:type="character" w:customStyle="1" w:styleId="HeaderChar">
    <w:name w:val="Header Char"/>
    <w:basedOn w:val="DefaultParagraphFont"/>
    <w:link w:val="Header"/>
    <w:uiPriority w:val="99"/>
    <w:rsid w:val="009D66A8"/>
    <w:rPr>
      <w:sz w:val="22"/>
      <w:lang w:val="en-GB" w:eastAsia="en-US"/>
    </w:rPr>
  </w:style>
  <w:style w:type="paragraph" w:customStyle="1" w:styleId="quotes">
    <w:name w:val="quotes"/>
    <w:basedOn w:val="Normal"/>
    <w:next w:val="Normal"/>
    <w:rsid w:val="00847E17"/>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semiHidden/>
    <w:rsid w:val="00847E17"/>
    <w:rPr>
      <w:sz w:val="24"/>
      <w:vertAlign w:val="superscript"/>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D46F0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46F0D"/>
    <w:rPr>
      <w:rFonts w:ascii="Tahoma" w:hAnsi="Tahoma" w:cs="Tahoma"/>
      <w:sz w:val="16"/>
      <w:szCs w:val="16"/>
      <w:lang w:val="en-GB" w:eastAsia="en-US"/>
    </w:rPr>
  </w:style>
  <w:style w:type="paragraph" w:customStyle="1" w:styleId="LOGO">
    <w:name w:val="LOGO"/>
    <w:basedOn w:val="Normal"/>
    <w:pPr>
      <w:jc w:val="center"/>
    </w:pPr>
    <w:rPr>
      <w:rFonts w:ascii="Arial" w:hAnsi="Arial"/>
      <w:b/>
      <w:i/>
      <w:sz w:val="20"/>
    </w:rPr>
  </w:style>
  <w:style w:type="character" w:styleId="CommentReference">
    <w:name w:val="annotation reference"/>
    <w:basedOn w:val="DefaultParagraphFont"/>
    <w:semiHidden/>
    <w:unhideWhenUsed/>
    <w:rsid w:val="0085234E"/>
    <w:rPr>
      <w:sz w:val="16"/>
      <w:szCs w:val="16"/>
    </w:rPr>
  </w:style>
  <w:style w:type="paragraph" w:styleId="CommentText">
    <w:name w:val="annotation text"/>
    <w:basedOn w:val="Normal"/>
    <w:link w:val="CommentTextChar"/>
    <w:semiHidden/>
    <w:unhideWhenUsed/>
    <w:rsid w:val="0085234E"/>
    <w:pPr>
      <w:spacing w:line="240" w:lineRule="auto"/>
    </w:pPr>
    <w:rPr>
      <w:sz w:val="20"/>
    </w:rPr>
  </w:style>
  <w:style w:type="character" w:customStyle="1" w:styleId="CommentTextChar">
    <w:name w:val="Comment Text Char"/>
    <w:basedOn w:val="DefaultParagraphFont"/>
    <w:link w:val="CommentText"/>
    <w:semiHidden/>
    <w:rsid w:val="0085234E"/>
    <w:rPr>
      <w:lang w:val="en-GB" w:eastAsia="en-US"/>
    </w:rPr>
  </w:style>
  <w:style w:type="paragraph" w:styleId="CommentSubject">
    <w:name w:val="annotation subject"/>
    <w:basedOn w:val="CommentText"/>
    <w:next w:val="CommentText"/>
    <w:link w:val="CommentSubjectChar"/>
    <w:semiHidden/>
    <w:unhideWhenUsed/>
    <w:rsid w:val="0085234E"/>
    <w:rPr>
      <w:b/>
      <w:bCs/>
    </w:rPr>
  </w:style>
  <w:style w:type="character" w:customStyle="1" w:styleId="CommentSubjectChar">
    <w:name w:val="Comment Subject Char"/>
    <w:basedOn w:val="CommentTextChar"/>
    <w:link w:val="CommentSubject"/>
    <w:semiHidden/>
    <w:rsid w:val="0085234E"/>
    <w:rPr>
      <w:b/>
      <w:bCs/>
      <w:lang w:val="en-GB" w:eastAsia="en-US"/>
    </w:rPr>
  </w:style>
  <w:style w:type="paragraph" w:styleId="Revision">
    <w:name w:val="Revision"/>
    <w:hidden/>
    <w:uiPriority w:val="99"/>
    <w:semiHidden/>
    <w:rsid w:val="0085234E"/>
    <w:rPr>
      <w:sz w:val="22"/>
      <w:lang w:val="en-GB" w:eastAsia="en-US"/>
    </w:rPr>
  </w:style>
  <w:style w:type="table" w:styleId="TableGrid">
    <w:name w:val="Table Grid"/>
    <w:basedOn w:val="TableNormal"/>
    <w:rsid w:val="00B6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62AE7"/>
    <w:pPr>
      <w:spacing w:line="240" w:lineRule="auto"/>
    </w:pPr>
    <w:rPr>
      <w:sz w:val="20"/>
    </w:rPr>
  </w:style>
  <w:style w:type="character" w:customStyle="1" w:styleId="EndnoteTextChar">
    <w:name w:val="Endnote Text Char"/>
    <w:basedOn w:val="DefaultParagraphFont"/>
    <w:link w:val="EndnoteText"/>
    <w:semiHidden/>
    <w:rsid w:val="00E62AE7"/>
    <w:rPr>
      <w:lang w:val="en-GB" w:eastAsia="en-US"/>
    </w:rPr>
  </w:style>
  <w:style w:type="character" w:styleId="EndnoteReference">
    <w:name w:val="endnote reference"/>
    <w:basedOn w:val="DefaultParagraphFont"/>
    <w:semiHidden/>
    <w:unhideWhenUsed/>
    <w:rsid w:val="00E62A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1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847E17"/>
    <w:pPr>
      <w:numPr>
        <w:numId w:val="1"/>
      </w:numPr>
      <w:outlineLvl w:val="0"/>
    </w:pPr>
    <w:rPr>
      <w:kern w:val="28"/>
    </w:rPr>
  </w:style>
  <w:style w:type="paragraph" w:styleId="Heading2">
    <w:name w:val="heading 2"/>
    <w:basedOn w:val="Normal"/>
    <w:next w:val="Normal"/>
    <w:link w:val="Heading2Char"/>
    <w:uiPriority w:val="9"/>
    <w:qFormat/>
    <w:rsid w:val="00847E17"/>
    <w:pPr>
      <w:numPr>
        <w:ilvl w:val="1"/>
        <w:numId w:val="1"/>
      </w:numPr>
      <w:ind w:left="720" w:hanging="720"/>
      <w:outlineLvl w:val="1"/>
    </w:pPr>
  </w:style>
  <w:style w:type="paragraph" w:styleId="Heading3">
    <w:name w:val="heading 3"/>
    <w:basedOn w:val="Normal"/>
    <w:next w:val="Normal"/>
    <w:link w:val="Heading3Char"/>
    <w:uiPriority w:val="9"/>
    <w:qFormat/>
    <w:rsid w:val="00847E17"/>
    <w:pPr>
      <w:numPr>
        <w:ilvl w:val="2"/>
        <w:numId w:val="1"/>
      </w:numPr>
      <w:ind w:left="720" w:hanging="720"/>
      <w:outlineLvl w:val="2"/>
    </w:pPr>
  </w:style>
  <w:style w:type="paragraph" w:styleId="Heading4">
    <w:name w:val="heading 4"/>
    <w:basedOn w:val="Normal"/>
    <w:next w:val="Normal"/>
    <w:link w:val="Heading4Char"/>
    <w:uiPriority w:val="9"/>
    <w:qFormat/>
    <w:rsid w:val="00847E17"/>
    <w:pPr>
      <w:numPr>
        <w:ilvl w:val="3"/>
        <w:numId w:val="1"/>
      </w:numPr>
      <w:ind w:left="720" w:hanging="720"/>
      <w:outlineLvl w:val="3"/>
    </w:pPr>
  </w:style>
  <w:style w:type="paragraph" w:styleId="Heading5">
    <w:name w:val="heading 5"/>
    <w:basedOn w:val="Normal"/>
    <w:next w:val="Normal"/>
    <w:link w:val="Heading5Char"/>
    <w:uiPriority w:val="9"/>
    <w:qFormat/>
    <w:rsid w:val="00847E17"/>
    <w:pPr>
      <w:numPr>
        <w:ilvl w:val="4"/>
        <w:numId w:val="1"/>
      </w:numPr>
      <w:ind w:left="720" w:hanging="720"/>
      <w:outlineLvl w:val="4"/>
    </w:pPr>
  </w:style>
  <w:style w:type="paragraph" w:styleId="Heading6">
    <w:name w:val="heading 6"/>
    <w:basedOn w:val="Normal"/>
    <w:next w:val="Normal"/>
    <w:link w:val="Heading6Char"/>
    <w:uiPriority w:val="9"/>
    <w:qFormat/>
    <w:rsid w:val="00847E17"/>
    <w:pPr>
      <w:numPr>
        <w:ilvl w:val="5"/>
        <w:numId w:val="1"/>
      </w:numPr>
      <w:ind w:left="720" w:hanging="720"/>
      <w:outlineLvl w:val="5"/>
    </w:pPr>
  </w:style>
  <w:style w:type="paragraph" w:styleId="Heading7">
    <w:name w:val="heading 7"/>
    <w:basedOn w:val="Normal"/>
    <w:next w:val="Normal"/>
    <w:link w:val="Heading7Char"/>
    <w:uiPriority w:val="9"/>
    <w:qFormat/>
    <w:rsid w:val="00847E17"/>
    <w:pPr>
      <w:numPr>
        <w:ilvl w:val="6"/>
        <w:numId w:val="1"/>
      </w:numPr>
      <w:ind w:left="720" w:hanging="720"/>
      <w:outlineLvl w:val="6"/>
    </w:pPr>
  </w:style>
  <w:style w:type="paragraph" w:styleId="Heading8">
    <w:name w:val="heading 8"/>
    <w:basedOn w:val="Normal"/>
    <w:next w:val="Normal"/>
    <w:link w:val="Heading8Char"/>
    <w:uiPriority w:val="9"/>
    <w:qFormat/>
    <w:rsid w:val="00847E17"/>
    <w:pPr>
      <w:numPr>
        <w:ilvl w:val="7"/>
        <w:numId w:val="1"/>
      </w:numPr>
      <w:ind w:left="720" w:hanging="720"/>
      <w:outlineLvl w:val="7"/>
    </w:pPr>
  </w:style>
  <w:style w:type="paragraph" w:styleId="Heading9">
    <w:name w:val="heading 9"/>
    <w:basedOn w:val="Normal"/>
    <w:next w:val="Normal"/>
    <w:link w:val="Heading9Char"/>
    <w:uiPriority w:val="9"/>
    <w:qFormat/>
    <w:rsid w:val="00847E1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6A8"/>
    <w:rPr>
      <w:kern w:val="28"/>
      <w:sz w:val="22"/>
      <w:lang w:val="en-GB" w:eastAsia="en-US"/>
    </w:rPr>
  </w:style>
  <w:style w:type="character" w:customStyle="1" w:styleId="Heading2Char">
    <w:name w:val="Heading 2 Char"/>
    <w:basedOn w:val="DefaultParagraphFont"/>
    <w:link w:val="Heading2"/>
    <w:uiPriority w:val="9"/>
    <w:rsid w:val="009D66A8"/>
    <w:rPr>
      <w:sz w:val="22"/>
      <w:lang w:val="en-GB" w:eastAsia="en-US"/>
    </w:rPr>
  </w:style>
  <w:style w:type="character" w:customStyle="1" w:styleId="Heading3Char">
    <w:name w:val="Heading 3 Char"/>
    <w:basedOn w:val="DefaultParagraphFont"/>
    <w:link w:val="Heading3"/>
    <w:uiPriority w:val="9"/>
    <w:rsid w:val="009D66A8"/>
    <w:rPr>
      <w:sz w:val="22"/>
      <w:lang w:val="en-GB" w:eastAsia="en-US"/>
    </w:rPr>
  </w:style>
  <w:style w:type="character" w:customStyle="1" w:styleId="Heading4Char">
    <w:name w:val="Heading 4 Char"/>
    <w:basedOn w:val="DefaultParagraphFont"/>
    <w:link w:val="Heading4"/>
    <w:uiPriority w:val="9"/>
    <w:rsid w:val="009D66A8"/>
    <w:rPr>
      <w:sz w:val="22"/>
      <w:lang w:val="en-GB" w:eastAsia="en-US"/>
    </w:rPr>
  </w:style>
  <w:style w:type="character" w:customStyle="1" w:styleId="Heading5Char">
    <w:name w:val="Heading 5 Char"/>
    <w:basedOn w:val="DefaultParagraphFont"/>
    <w:link w:val="Heading5"/>
    <w:uiPriority w:val="9"/>
    <w:rsid w:val="009D66A8"/>
    <w:rPr>
      <w:sz w:val="22"/>
      <w:lang w:val="en-GB" w:eastAsia="en-US"/>
    </w:rPr>
  </w:style>
  <w:style w:type="character" w:customStyle="1" w:styleId="Heading6Char">
    <w:name w:val="Heading 6 Char"/>
    <w:basedOn w:val="DefaultParagraphFont"/>
    <w:link w:val="Heading6"/>
    <w:uiPriority w:val="9"/>
    <w:rsid w:val="009D66A8"/>
    <w:rPr>
      <w:sz w:val="22"/>
      <w:lang w:val="en-GB" w:eastAsia="en-US"/>
    </w:rPr>
  </w:style>
  <w:style w:type="character" w:customStyle="1" w:styleId="Heading7Char">
    <w:name w:val="Heading 7 Char"/>
    <w:basedOn w:val="DefaultParagraphFont"/>
    <w:link w:val="Heading7"/>
    <w:uiPriority w:val="9"/>
    <w:rsid w:val="009D66A8"/>
    <w:rPr>
      <w:sz w:val="22"/>
      <w:lang w:val="en-GB" w:eastAsia="en-US"/>
    </w:rPr>
  </w:style>
  <w:style w:type="character" w:customStyle="1" w:styleId="Heading8Char">
    <w:name w:val="Heading 8 Char"/>
    <w:basedOn w:val="DefaultParagraphFont"/>
    <w:link w:val="Heading8"/>
    <w:uiPriority w:val="9"/>
    <w:rsid w:val="009D66A8"/>
    <w:rPr>
      <w:sz w:val="22"/>
      <w:lang w:val="en-GB" w:eastAsia="en-US"/>
    </w:rPr>
  </w:style>
  <w:style w:type="character" w:customStyle="1" w:styleId="Heading9Char">
    <w:name w:val="Heading 9 Char"/>
    <w:basedOn w:val="DefaultParagraphFont"/>
    <w:link w:val="Heading9"/>
    <w:uiPriority w:val="9"/>
    <w:rsid w:val="009D66A8"/>
    <w:rPr>
      <w:sz w:val="22"/>
      <w:lang w:val="en-GB" w:eastAsia="en-US"/>
    </w:rPr>
  </w:style>
  <w:style w:type="paragraph" w:styleId="Footer">
    <w:name w:val="footer"/>
    <w:basedOn w:val="Normal"/>
    <w:link w:val="FooterChar"/>
    <w:uiPriority w:val="99"/>
    <w:rsid w:val="00847E17"/>
  </w:style>
  <w:style w:type="character" w:customStyle="1" w:styleId="FooterChar">
    <w:name w:val="Footer Char"/>
    <w:basedOn w:val="DefaultParagraphFont"/>
    <w:link w:val="Footer"/>
    <w:uiPriority w:val="99"/>
    <w:rsid w:val="009D66A8"/>
    <w:rPr>
      <w:sz w:val="22"/>
      <w:lang w:val="en-GB" w:eastAsia="en-US"/>
    </w:rPr>
  </w:style>
  <w:style w:type="paragraph" w:styleId="FootnoteText">
    <w:name w:val="footnote text"/>
    <w:basedOn w:val="Normal"/>
    <w:link w:val="FootnoteTextChar"/>
    <w:uiPriority w:val="99"/>
    <w:rsid w:val="00847E1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9D66A8"/>
    <w:rPr>
      <w:lang w:val="en-GB" w:eastAsia="en-US"/>
    </w:rPr>
  </w:style>
  <w:style w:type="paragraph" w:styleId="Header">
    <w:name w:val="header"/>
    <w:basedOn w:val="Normal"/>
    <w:link w:val="HeaderChar"/>
    <w:uiPriority w:val="99"/>
    <w:rsid w:val="00847E17"/>
  </w:style>
  <w:style w:type="character" w:customStyle="1" w:styleId="HeaderChar">
    <w:name w:val="Header Char"/>
    <w:basedOn w:val="DefaultParagraphFont"/>
    <w:link w:val="Header"/>
    <w:uiPriority w:val="99"/>
    <w:rsid w:val="009D66A8"/>
    <w:rPr>
      <w:sz w:val="22"/>
      <w:lang w:val="en-GB" w:eastAsia="en-US"/>
    </w:rPr>
  </w:style>
  <w:style w:type="paragraph" w:customStyle="1" w:styleId="quotes">
    <w:name w:val="quotes"/>
    <w:basedOn w:val="Normal"/>
    <w:next w:val="Normal"/>
    <w:rsid w:val="00847E17"/>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semiHidden/>
    <w:rsid w:val="00847E17"/>
    <w:rPr>
      <w:sz w:val="24"/>
      <w:vertAlign w:val="superscript"/>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D46F0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46F0D"/>
    <w:rPr>
      <w:rFonts w:ascii="Tahoma" w:hAnsi="Tahoma" w:cs="Tahoma"/>
      <w:sz w:val="16"/>
      <w:szCs w:val="16"/>
      <w:lang w:val="en-GB" w:eastAsia="en-US"/>
    </w:rPr>
  </w:style>
  <w:style w:type="paragraph" w:customStyle="1" w:styleId="LOGO">
    <w:name w:val="LOGO"/>
    <w:basedOn w:val="Normal"/>
    <w:pPr>
      <w:jc w:val="center"/>
    </w:pPr>
    <w:rPr>
      <w:rFonts w:ascii="Arial" w:hAnsi="Arial"/>
      <w:b/>
      <w:i/>
      <w:sz w:val="20"/>
    </w:rPr>
  </w:style>
  <w:style w:type="character" w:styleId="CommentReference">
    <w:name w:val="annotation reference"/>
    <w:basedOn w:val="DefaultParagraphFont"/>
    <w:semiHidden/>
    <w:unhideWhenUsed/>
    <w:rsid w:val="0085234E"/>
    <w:rPr>
      <w:sz w:val="16"/>
      <w:szCs w:val="16"/>
    </w:rPr>
  </w:style>
  <w:style w:type="paragraph" w:styleId="CommentText">
    <w:name w:val="annotation text"/>
    <w:basedOn w:val="Normal"/>
    <w:link w:val="CommentTextChar"/>
    <w:semiHidden/>
    <w:unhideWhenUsed/>
    <w:rsid w:val="0085234E"/>
    <w:pPr>
      <w:spacing w:line="240" w:lineRule="auto"/>
    </w:pPr>
    <w:rPr>
      <w:sz w:val="20"/>
    </w:rPr>
  </w:style>
  <w:style w:type="character" w:customStyle="1" w:styleId="CommentTextChar">
    <w:name w:val="Comment Text Char"/>
    <w:basedOn w:val="DefaultParagraphFont"/>
    <w:link w:val="CommentText"/>
    <w:semiHidden/>
    <w:rsid w:val="0085234E"/>
    <w:rPr>
      <w:lang w:val="en-GB" w:eastAsia="en-US"/>
    </w:rPr>
  </w:style>
  <w:style w:type="paragraph" w:styleId="CommentSubject">
    <w:name w:val="annotation subject"/>
    <w:basedOn w:val="CommentText"/>
    <w:next w:val="CommentText"/>
    <w:link w:val="CommentSubjectChar"/>
    <w:semiHidden/>
    <w:unhideWhenUsed/>
    <w:rsid w:val="0085234E"/>
    <w:rPr>
      <w:b/>
      <w:bCs/>
    </w:rPr>
  </w:style>
  <w:style w:type="character" w:customStyle="1" w:styleId="CommentSubjectChar">
    <w:name w:val="Comment Subject Char"/>
    <w:basedOn w:val="CommentTextChar"/>
    <w:link w:val="CommentSubject"/>
    <w:semiHidden/>
    <w:rsid w:val="0085234E"/>
    <w:rPr>
      <w:b/>
      <w:bCs/>
      <w:lang w:val="en-GB" w:eastAsia="en-US"/>
    </w:rPr>
  </w:style>
  <w:style w:type="paragraph" w:styleId="Revision">
    <w:name w:val="Revision"/>
    <w:hidden/>
    <w:uiPriority w:val="99"/>
    <w:semiHidden/>
    <w:rsid w:val="0085234E"/>
    <w:rPr>
      <w:sz w:val="22"/>
      <w:lang w:val="en-GB" w:eastAsia="en-US"/>
    </w:rPr>
  </w:style>
  <w:style w:type="table" w:styleId="TableGrid">
    <w:name w:val="Table Grid"/>
    <w:basedOn w:val="TableNormal"/>
    <w:rsid w:val="00B6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62AE7"/>
    <w:pPr>
      <w:spacing w:line="240" w:lineRule="auto"/>
    </w:pPr>
    <w:rPr>
      <w:sz w:val="20"/>
    </w:rPr>
  </w:style>
  <w:style w:type="character" w:customStyle="1" w:styleId="EndnoteTextChar">
    <w:name w:val="Endnote Text Char"/>
    <w:basedOn w:val="DefaultParagraphFont"/>
    <w:link w:val="EndnoteText"/>
    <w:semiHidden/>
    <w:rsid w:val="00E62AE7"/>
    <w:rPr>
      <w:lang w:val="en-GB" w:eastAsia="en-US"/>
    </w:rPr>
  </w:style>
  <w:style w:type="character" w:styleId="EndnoteReference">
    <w:name w:val="endnote reference"/>
    <w:basedOn w:val="DefaultParagraphFont"/>
    <w:semiHidden/>
    <w:unhideWhenUsed/>
    <w:rsid w:val="00E62A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fontTable" Target="fontTable.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6.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mf.org/external/pubs/ft/sdn/2016/sdn1607.pdf" TargetMode="External"/><Relationship Id="rId2" Type="http://schemas.openxmlformats.org/officeDocument/2006/relationships/hyperlink" Target="https://ec.europa.eu/futurium/en/employment/2018-annual-report-intra-eu-labour-mobility" TargetMode="External"/><Relationship Id="rId1" Type="http://schemas.openxmlformats.org/officeDocument/2006/relationships/hyperlink" Target="https://cor.europa.eu/en/engage/studies/Documents/addressing-brain-drain/addressing-brain-drai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05d422c-7462-4b3b-8ff8-badd4f7342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FE41137F8CB7514F852D1A138EC6B362" ma:contentTypeVersion="7" ma:contentTypeDescription="Defines the documents for Document Manager V2" ma:contentTypeScope="" ma:versionID="0445e70f1518e6bd04661c8745a302d4">
  <xsd:schema xmlns:xsd="http://www.w3.org/2001/XMLSchema" xmlns:xs="http://www.w3.org/2001/XMLSchema" xmlns:p="http://schemas.microsoft.com/office/2006/metadata/properties" xmlns:ns2="857bdf61-ef81-4463-9c7c-83f2607ad7f5" xmlns:ns3="http://schemas.microsoft.com/sharepoint/v3/fields" xmlns:ns4="e4dca85c-1383-41fb-936d-b4580cc2e903" targetNamespace="http://schemas.microsoft.com/office/2006/metadata/properties" ma:root="true" ma:fieldsID="b81bb777aad610c9e8be700fbd5d69be" ns2:_="" ns3:_="" ns4:_="">
    <xsd:import namespace="857bdf61-ef81-4463-9c7c-83f2607ad7f5"/>
    <xsd:import namespace="http://schemas.microsoft.com/sharepoint/v3/fields"/>
    <xsd:import namespace="e4dca85c-1383-41fb-936d-b4580cc2e90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dca85c-1383-41fb-936d-b4580cc2e903"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9D7C874BB0FAC641A89E35718C625F1E" ma:contentTypeVersion="14" ma:contentTypeDescription="Umožňuje vytvoriť nový dokument." ma:contentTypeScope="" ma:versionID="4cf67a208a49ea11cec0aaf5e33c0184">
  <xsd:schema xmlns:xsd="http://www.w3.org/2001/XMLSchema" xmlns:xs="http://www.w3.org/2001/XMLSchema" xmlns:p="http://schemas.microsoft.com/office/2006/metadata/properties" xmlns:ns2="a05d422c-7462-4b3b-8ff8-badd4f734296" xmlns:ns3="917a3bcf-48e0-4bb9-a836-06b1836f1d42" targetNamespace="http://schemas.microsoft.com/office/2006/metadata/properties" ma:root="true" ma:fieldsID="c8495b73d6b2db9f2262f06859d3beb1" ns2:_="" ns3:_="">
    <xsd:import namespace="a05d422c-7462-4b3b-8ff8-badd4f734296"/>
    <xsd:import namespace="917a3bcf-48e0-4bb9-a836-06b1836f1d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_Flow_SignoffStatu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422c-7462-4b3b-8ff8-badd4f734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tav odhlásenia" ma:internalName="Stav_x0020_odhl_x00e1_senia">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7a3bcf-48e0-4bb9-a836-06b1836f1d42"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6AF37-471C-4BDB-8D68-F1E0E5831395}"/>
</file>

<file path=customXml/itemProps2.xml><?xml version="1.0" encoding="utf-8"?>
<ds:datastoreItem xmlns:ds="http://schemas.openxmlformats.org/officeDocument/2006/customXml" ds:itemID="{259F3857-1968-4260-8107-129130EB4913}"/>
</file>

<file path=customXml/itemProps3.xml><?xml version="1.0" encoding="utf-8"?>
<ds:datastoreItem xmlns:ds="http://schemas.openxmlformats.org/officeDocument/2006/customXml" ds:itemID="{9D2AF980-D1AD-4132-B1AA-DA239CCEE644}"/>
</file>

<file path=customXml/itemProps4.xml><?xml version="1.0" encoding="utf-8"?>
<ds:datastoreItem xmlns:ds="http://schemas.openxmlformats.org/officeDocument/2006/customXml" ds:itemID="{10353478-9643-4A6B-A2C4-4E578275A122}"/>
</file>

<file path=docProps/app.xml><?xml version="1.0" encoding="utf-8"?>
<Properties xmlns="http://schemas.openxmlformats.org/officeDocument/2006/extended-properties" xmlns:vt="http://schemas.openxmlformats.org/officeDocument/2006/docPropsVTypes">
  <Template>Styles</Template>
  <TotalTime>18</TotalTime>
  <Pages>2</Pages>
  <Words>3465</Words>
  <Characters>19752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Brain Drain in the EU: addressing the challenge at all levels</vt:lpstr>
    </vt:vector>
  </TitlesOfParts>
  <Company>CESE-CdR</Company>
  <LinksUpToDate>false</LinksUpToDate>
  <CharactersWithSpaces>23171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Drain in the EU: addressing the challenge at all levels</dc:title>
  <dc:subject>Committee opinion</dc:subject>
  <dc:creator>Emma Nieddu</dc:creator>
  <cp:keywords>COR-2019-04645-00-00-AC-TRA-EN</cp:keywords>
  <dc:description>Rapporteur: - BOC Original language: - EN Date of document: - 17/02/2020 Date of meeting: -  External documents: -  Administrator responsible: - M. HOBJILA Doru-Iulian</dc:description>
  <cp:lastModifiedBy>TDriveSVCUserProd</cp:lastModifiedBy>
  <cp:revision>8</cp:revision>
  <cp:lastPrinted>2019-10-30T13:54:00Z</cp:lastPrinted>
  <dcterms:created xsi:type="dcterms:W3CDTF">2020-02-17T09:59:00Z</dcterms:created>
  <dcterms:modified xsi:type="dcterms:W3CDTF">2020-02-17T10:20:00Z</dcterms:modified>
  <cp:category>SEDEC-VI/52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17/02/2020, 13/12/2019, 02/12/2019, 02/12/2019, 02/12/2019, 08/11/2019, 31/10/2019</vt:lpwstr>
  </property>
  <property fmtid="{D5CDD505-2E9C-101B-9397-08002B2CF9AE}" pid="4" name="Pref_Time">
    <vt:lpwstr>10:49:30, 12:33:42, 14:18:42, 11:54:48, 11:44:19, 15:31:46, 11:17:03</vt:lpwstr>
  </property>
  <property fmtid="{D5CDD505-2E9C-101B-9397-08002B2CF9AE}" pid="5" name="Pref_User">
    <vt:lpwstr>mkop, hnic, hnic, hnic, htoo, hnic, LAchi</vt:lpwstr>
  </property>
  <property fmtid="{D5CDD505-2E9C-101B-9397-08002B2CF9AE}" pid="6" name="Pref_FileName">
    <vt:lpwstr>COR-2019-04645-00-00-AC-TRA-EN-CRR.docx, COR-2019-04645-00-02-PAC-ORI.docx, COR-2019-04645-00-01-PAC-ORI.docx, COR-2019-04645-00-00-PAC-TRA-EN-CRR.docx, COR-2019-04645-00-00-PAC-CRR-EN.docx, COR-2019-04645-00-01-PA-ORI.docx, COR-2019-04645-00-00-PA-ORI.do</vt:lpwstr>
  </property>
  <property fmtid="{D5CDD505-2E9C-101B-9397-08002B2CF9AE}" pid="7" name="ContentTypeId">
    <vt:lpwstr>0x0101009D7C874BB0FAC641A89E35718C625F1E</vt:lpwstr>
  </property>
  <property fmtid="{D5CDD505-2E9C-101B-9397-08002B2CF9AE}" pid="8" name="_dlc_DocIdItemGuid">
    <vt:lpwstr>add31a80-03ed-450f-8dfa-8d91e3080ae6</vt:lpwstr>
  </property>
  <property fmtid="{D5CDD505-2E9C-101B-9397-08002B2CF9AE}" pid="9" name="AvailableTranslations">
    <vt:lpwstr>33;#SK|46d9fce0-ef79-4f71-b89b-cd6aa82426b8;#29;#DE|f6b31e5a-26fa-4935-b661-318e46daf27e;#36;#PT|50ccc04a-eadd-42ae-a0cb-acaf45f812ba;#47;#GA|762d2456-c427-4ecb-b312-af3dad8e258c;#13;#ES|e7a6b05b-ae16-40c8-add9-68b64b03aeba;#28;#CS|72f9705b-0217-4fd3-bea2-cbc7ed80e26e;#35;#BG|1a1b3951-7821-4e6a-85f5-5673fc08bd2c;#24;#LV|46f7e311-5d9f-4663-b433-18aeccb7ace7;#30;#HR|2f555653-ed1a-4fe6-8362-9082d95989e5;#9;#EN|f2175f21-25d7-44a3-96da-d6a61b075e1b;#23;#FI|87606a43-d45f-42d6-b8c9-e1a3457db5b7;#40;#HU|6b229040-c589-4408-b4c1-4285663d20a8;#25;#DA|5d49c027-8956-412b-aa16-e85a0f96ad0e;#7;#FR|d2afafd3-4c81-4f60-8f52-ee33f2f54ff3;#18;#PL|1e03da61-4678-4e07-b136-b5024ca9197b;#17;#SV|c2ed69e7-a339-43d7-8f22-d93680a92aa0;#21;#RO|feb747a2-64cd-4299-af12-4833ddc30497;#20;#EL|6d4f4d51-af9b-4650-94b4-4276bee85c91;#4;#IT|0774613c-01ed-4e5d-a25d-11d2388de825;#38;#ET|ff6c3f4c-b02c-4c3c-ab07-2c37995a7a0a;#22;#NL|55c6556c-b4f4-441d-9acf-c498d4f838bd;#32;#LT|a7ff5ce7-6123-4f68-865a-a57c31810414;#37;#MT|7df99101-6854-4a26-b53a-b88c0da02c26;#27;#SL|98a412ae-eb01-49e9-ae3d-585a81724cfc</vt:lpwstr>
  </property>
  <property fmtid="{D5CDD505-2E9C-101B-9397-08002B2CF9AE}" pid="10" name="DocumentType_0">
    <vt:lpwstr>AC|a4cc1d15-fb08-4679-ad46-e4e0cba5fe92</vt:lpwstr>
  </property>
  <property fmtid="{D5CDD505-2E9C-101B-9397-08002B2CF9AE}" pid="11" name="DossierName_0">
    <vt:lpwstr>SEDEC-VI|f06eb240-9dba-4299-813c-b6d38e9a15c0</vt:lpwstr>
  </property>
  <property fmtid="{D5CDD505-2E9C-101B-9397-08002B2CF9AE}" pid="12" name="DocumentSource_0">
    <vt:lpwstr>CoR|cb2d75ef-4a7d-4393-b797-49ed6298a5ea</vt:lpwstr>
  </property>
  <property fmtid="{D5CDD505-2E9C-101B-9397-08002B2CF9AE}" pid="13" name="DocumentNumber">
    <vt:i4>4645</vt:i4>
  </property>
  <property fmtid="{D5CDD505-2E9C-101B-9397-08002B2CF9AE}" pid="14" name="FicheYear">
    <vt:i4>2019</vt:i4>
  </property>
  <property fmtid="{D5CDD505-2E9C-101B-9397-08002B2CF9AE}" pid="15" name="DocumentVersion">
    <vt:i4>0</vt:i4>
  </property>
  <property fmtid="{D5CDD505-2E9C-101B-9397-08002B2CF9AE}" pid="16" name="DossierNumber">
    <vt:i4>52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83;#SEDEC-VI|f06eb240-9dba-4299-813c-b6d38e9a15c0</vt:lpwstr>
  </property>
  <property fmtid="{D5CDD505-2E9C-101B-9397-08002B2CF9AE}" pid="20" name="DocumentSource">
    <vt:lpwstr>1;#CoR|cb2d75ef-4a7d-4393-b797-49ed6298a5ea</vt:lpwstr>
  </property>
  <property fmtid="{D5CDD505-2E9C-101B-9397-08002B2CF9AE}" pid="21" name="AdoptionDate">
    <vt:filetime>2020-02-12T12:00:00Z</vt:filetime>
  </property>
  <property fmtid="{D5CDD505-2E9C-101B-9397-08002B2CF9AE}" pid="22" name="DocumentType">
    <vt:lpwstr>98;#AC|a4cc1d15-fb08-4679-ad46-e4e0cba5fe92</vt:lpwstr>
  </property>
  <property fmtid="{D5CDD505-2E9C-101B-9397-08002B2CF9AE}" pid="23" name="RequestingService">
    <vt:lpwstr>Commission SEDEC</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83;#SEDEC-VI|f06eb240-9dba-4299-813c-b6d38e9a15c0;#98;#AC|a4cc1d15-fb08-4679-ad46-e4e0cba5fe92;#10;#Unrestricted|826e22d7-d029-4ec0-a450-0c28ff673572;#9;#EN|f2175f21-25d7-44a3-96da-d6a61b075e1b;#6;#Final|ea5e6674-7b27-4bac-b091-73adbb394efe;#2;#TRA|150d2a88-1431-44e6-a8ca-0bb753ab8672;#1;#CoR|cb2d75ef-4a7d-4393-b797-49ed6298a5ea</vt:lpwstr>
  </property>
  <property fmtid="{D5CDD505-2E9C-101B-9397-08002B2CF9AE}" pid="34" name="Rapporteur">
    <vt:lpwstr>BOC</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1629</vt:i4>
  </property>
  <property fmtid="{D5CDD505-2E9C-101B-9397-08002B2CF9AE}" pid="39" name="DocumentLanguage">
    <vt:lpwstr>9;#EN|f2175f21-25d7-44a3-96da-d6a61b075e1b</vt:lpwstr>
  </property>
  <property fmtid="{D5CDD505-2E9C-101B-9397-08002B2CF9AE}" pid="40" name="_docset_NoMedatataSyncRequired">
    <vt:lpwstr>False</vt:lpwstr>
  </property>
</Properties>
</file>